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rPr>
          <w:rFonts w:ascii="Times New Roman" w:hAnsi="Times New Roman" w:cs="Times New Roman"/>
          <w:sz w:val="44"/>
          <w:szCs w:val="44"/>
        </w:rPr>
      </w:pP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44"/>
          <w:szCs w:val="44"/>
        </w:rPr>
      </w:pPr>
    </w:p>
    <w:p>
      <w:pPr>
        <w:jc w:val="center"/>
        <w:rPr>
          <w:rFonts w:ascii="Times New Roman" w:hAnsi="Times New Roman" w:eastAsia="宋体" w:cs="Times New Roman"/>
          <w:b/>
          <w:sz w:val="44"/>
          <w:szCs w:val="44"/>
        </w:rPr>
      </w:pPr>
    </w:p>
    <w:p>
      <w:pPr>
        <w:jc w:val="center"/>
        <w:rPr>
          <w:rFonts w:hint="eastAsia" w:ascii="Times New Roman" w:hAnsi="Times New Roman" w:eastAsia="宋体" w:cs="Times New Roman"/>
          <w:b/>
          <w:sz w:val="52"/>
          <w:szCs w:val="52"/>
        </w:rPr>
      </w:pPr>
      <w:r>
        <w:rPr>
          <w:rFonts w:hint="eastAsia" w:ascii="Times New Roman" w:hAnsi="Times New Roman" w:eastAsia="宋体" w:cs="Times New Roman"/>
          <w:b/>
          <w:sz w:val="52"/>
          <w:szCs w:val="52"/>
        </w:rPr>
        <w:t>导轨式胶轮系统</w:t>
      </w:r>
    </w:p>
    <w:p>
      <w:pPr>
        <w:jc w:val="center"/>
        <w:rPr>
          <w:rFonts w:hint="default" w:ascii="Times New Roman" w:hAnsi="Times New Roman" w:eastAsia="宋体" w:cs="Times New Roman"/>
          <w:b/>
          <w:sz w:val="52"/>
          <w:szCs w:val="52"/>
          <w:lang w:val="en-US"/>
        </w:rPr>
      </w:pPr>
      <w:r>
        <w:rPr>
          <w:rFonts w:hint="default" w:ascii="Times New Roman" w:hAnsi="Times New Roman" w:eastAsia="宋体" w:cs="Times New Roman"/>
          <w:b/>
          <w:sz w:val="52"/>
          <w:szCs w:val="52"/>
          <w:lang w:val="en-US"/>
        </w:rPr>
        <w:t>客运组织与服务管理规范</w:t>
      </w:r>
    </w:p>
    <w:p>
      <w:pPr>
        <w:jc w:val="right"/>
        <w:rPr>
          <w:rFonts w:ascii="Times New Roman" w:hAnsi="Times New Roman" w:eastAsia="宋体" w:cs="Times New Roman"/>
          <w:b/>
          <w:sz w:val="52"/>
          <w:szCs w:val="52"/>
        </w:rPr>
      </w:pPr>
      <w:r>
        <w:rPr>
          <w:rFonts w:ascii="Times New Roman" w:hAnsi="Times New Roman" w:eastAsia="宋体" w:cs="Times New Roman"/>
          <w:b/>
          <w:sz w:val="52"/>
          <w:szCs w:val="52"/>
        </w:rPr>
        <w:t>——编制说明</w:t>
      </w: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rPr>
          <w:rFonts w:ascii="Times New Roman" w:hAnsi="Times New Roman" w:eastAsia="微软雅黑" w:cs="Times New Roman"/>
          <w:b/>
          <w:sz w:val="44"/>
          <w:szCs w:val="44"/>
        </w:rPr>
      </w:pPr>
    </w:p>
    <w:p>
      <w:pPr>
        <w:jc w:val="center"/>
        <w:rPr>
          <w:rFonts w:ascii="Times New Roman" w:hAnsi="Times New Roman" w:eastAsia="宋体" w:cs="Times New Roman"/>
          <w:b/>
          <w:sz w:val="36"/>
          <w:szCs w:val="44"/>
        </w:rPr>
      </w:pPr>
    </w:p>
    <w:p>
      <w:pPr>
        <w:jc w:val="center"/>
        <w:rPr>
          <w:rFonts w:ascii="Times New Roman" w:hAnsi="Times New Roman" w:eastAsia="宋体" w:cs="Times New Roman"/>
          <w:b/>
          <w:sz w:val="32"/>
          <w:szCs w:val="44"/>
        </w:rPr>
      </w:pPr>
      <w:r>
        <w:rPr>
          <w:rFonts w:ascii="Times New Roman" w:hAnsi="Times New Roman" w:eastAsia="宋体" w:cs="Times New Roman"/>
          <w:b/>
          <w:sz w:val="32"/>
          <w:szCs w:val="44"/>
        </w:rPr>
        <w:t>《</w:t>
      </w:r>
      <w:r>
        <w:rPr>
          <w:rFonts w:hint="eastAsia" w:ascii="Times New Roman" w:hAnsi="Times New Roman" w:eastAsia="宋体" w:cs="Times New Roman"/>
          <w:b/>
          <w:sz w:val="32"/>
          <w:szCs w:val="44"/>
        </w:rPr>
        <w:t>导轨式胶轮系统</w:t>
      </w:r>
      <w:r>
        <w:rPr>
          <w:rFonts w:hint="eastAsia" w:ascii="Times New Roman" w:hAnsi="Times New Roman" w:eastAsia="宋体" w:cs="Times New Roman"/>
          <w:b/>
          <w:sz w:val="32"/>
          <w:szCs w:val="44"/>
          <w:lang w:val="en-US" w:eastAsia="zh-CN"/>
        </w:rPr>
        <w:t>客运组织与服务管理规范</w:t>
      </w:r>
      <w:r>
        <w:rPr>
          <w:rFonts w:ascii="Times New Roman" w:hAnsi="Times New Roman" w:eastAsia="宋体" w:cs="Times New Roman"/>
          <w:b/>
          <w:sz w:val="32"/>
          <w:szCs w:val="44"/>
        </w:rPr>
        <w:t>》编制组</w:t>
      </w:r>
    </w:p>
    <w:p>
      <w:pPr>
        <w:jc w:val="center"/>
        <w:rPr>
          <w:rFonts w:ascii="Times New Roman" w:hAnsi="Times New Roman" w:eastAsia="宋体" w:cs="Times New Roman"/>
          <w:b/>
          <w:sz w:val="32"/>
          <w:szCs w:val="44"/>
        </w:rPr>
        <w:sectPr>
          <w:footerReference r:id="rId3" w:type="default"/>
          <w:pgSz w:w="11906" w:h="16838"/>
          <w:pgMar w:top="1440" w:right="1800" w:bottom="1440" w:left="1800" w:header="851" w:footer="992" w:gutter="0"/>
          <w:pgNumType w:start="1"/>
          <w:cols w:space="425" w:num="1"/>
          <w:docGrid w:type="lines" w:linePitch="312" w:charSpace="0"/>
        </w:sectPr>
      </w:pPr>
      <w:r>
        <w:rPr>
          <w:rFonts w:ascii="Times New Roman" w:hAnsi="Times New Roman" w:eastAsia="宋体" w:cs="Times New Roman"/>
          <w:b/>
          <w:sz w:val="32"/>
          <w:szCs w:val="44"/>
        </w:rPr>
        <w:t>202</w:t>
      </w:r>
      <w:r>
        <w:rPr>
          <w:rFonts w:hint="default" w:ascii="Times New Roman" w:hAnsi="Times New Roman" w:eastAsia="宋体" w:cs="Times New Roman"/>
          <w:b/>
          <w:sz w:val="32"/>
          <w:szCs w:val="44"/>
          <w:lang w:val="en-US"/>
        </w:rPr>
        <w:t>2</w:t>
      </w:r>
      <w:r>
        <w:rPr>
          <w:rFonts w:ascii="Times New Roman" w:hAnsi="Times New Roman" w:eastAsia="宋体" w:cs="Times New Roman"/>
          <w:b/>
          <w:sz w:val="32"/>
          <w:szCs w:val="44"/>
        </w:rPr>
        <w:t>年</w:t>
      </w:r>
      <w:r>
        <w:rPr>
          <w:rFonts w:hint="default" w:ascii="Times New Roman" w:hAnsi="Times New Roman" w:eastAsia="宋体" w:cs="Times New Roman"/>
          <w:b/>
          <w:sz w:val="32"/>
          <w:szCs w:val="44"/>
          <w:lang w:val="en-US"/>
        </w:rPr>
        <w:t>7</w:t>
      </w:r>
      <w:r>
        <w:rPr>
          <w:rFonts w:ascii="Times New Roman" w:hAnsi="Times New Roman" w:eastAsia="宋体" w:cs="Times New Roman"/>
          <w:b/>
          <w:sz w:val="32"/>
          <w:szCs w:val="44"/>
        </w:rPr>
        <w:t>月</w:t>
      </w:r>
    </w:p>
    <w:p>
      <w:pPr>
        <w:widowControl/>
        <w:spacing w:before="156" w:beforeLines="50" w:after="156" w:afterLines="50"/>
        <w:jc w:val="center"/>
        <w:rPr>
          <w:rFonts w:ascii="Times New Roman" w:hAnsi="Times New Roman" w:eastAsia="宋体" w:cs="Times New Roman"/>
          <w:b/>
          <w:sz w:val="32"/>
          <w:szCs w:val="24"/>
        </w:rPr>
      </w:pPr>
      <w:r>
        <w:rPr>
          <w:rFonts w:ascii="Times New Roman" w:hAnsi="Times New Roman" w:eastAsia="宋体" w:cs="Times New Roman"/>
          <w:b/>
          <w:sz w:val="32"/>
          <w:szCs w:val="24"/>
        </w:rPr>
        <w:t>目  录</w:t>
      </w:r>
    </w:p>
    <w:p>
      <w:pPr>
        <w:pStyle w:val="7"/>
        <w:tabs>
          <w:tab w:val="right" w:leader="dot" w:pos="8296"/>
        </w:tabs>
        <w:spacing w:line="360" w:lineRule="auto"/>
        <w:rPr>
          <w:rFonts w:ascii="宋体" w:hAnsi="宋体" w:eastAsia="宋体"/>
          <w:sz w:val="24"/>
          <w:szCs w:val="24"/>
        </w:rPr>
      </w:pPr>
      <w:r>
        <w:rPr>
          <w:rFonts w:ascii="宋体" w:hAnsi="宋体" w:eastAsia="宋体" w:cs="Times New Roman"/>
          <w:sz w:val="24"/>
          <w:szCs w:val="24"/>
        </w:rPr>
        <w:fldChar w:fldCharType="begin"/>
      </w:r>
      <w:r>
        <w:rPr>
          <w:rFonts w:ascii="宋体" w:hAnsi="宋体" w:eastAsia="宋体" w:cs="Times New Roman"/>
          <w:sz w:val="24"/>
          <w:szCs w:val="24"/>
        </w:rPr>
        <w:instrText xml:space="preserve"> TOC \o "1-1" \h \z \u </w:instrText>
      </w:r>
      <w:r>
        <w:rPr>
          <w:rFonts w:ascii="宋体" w:hAnsi="宋体" w:eastAsia="宋体" w:cs="Times New Roman"/>
          <w:sz w:val="24"/>
          <w:szCs w:val="24"/>
        </w:rPr>
        <w:fldChar w:fldCharType="separate"/>
      </w:r>
      <w:r>
        <w:fldChar w:fldCharType="begin"/>
      </w:r>
      <w:r>
        <w:instrText xml:space="preserve"> HYPERLINK \l "_Toc74140566" </w:instrText>
      </w:r>
      <w:r>
        <w:fldChar w:fldCharType="separate"/>
      </w:r>
      <w:r>
        <w:rPr>
          <w:rStyle w:val="12"/>
          <w:rFonts w:hint="eastAsia" w:ascii="宋体" w:hAnsi="宋体" w:eastAsia="宋体" w:cs="Times New Roman"/>
          <w:sz w:val="24"/>
          <w:szCs w:val="24"/>
        </w:rPr>
        <w:t>一、任务来源</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_Toc74140566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"_Toc74140567" </w:instrText>
      </w:r>
      <w:r>
        <w:fldChar w:fldCharType="separate"/>
      </w:r>
      <w:r>
        <w:rPr>
          <w:rStyle w:val="12"/>
          <w:rFonts w:hint="eastAsia" w:ascii="宋体" w:hAnsi="宋体" w:eastAsia="宋体" w:cs="Times New Roman"/>
          <w:sz w:val="24"/>
          <w:szCs w:val="24"/>
        </w:rPr>
        <w:t>二、标准制定的必要性</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_Toc74140567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"_Toc74140568" </w:instrText>
      </w:r>
      <w:r>
        <w:fldChar w:fldCharType="separate"/>
      </w:r>
      <w:r>
        <w:rPr>
          <w:rStyle w:val="12"/>
          <w:rFonts w:hint="eastAsia" w:ascii="宋体" w:hAnsi="宋体" w:eastAsia="宋体" w:cs="Times New Roman"/>
          <w:sz w:val="24"/>
          <w:szCs w:val="24"/>
        </w:rPr>
        <w:t>三、主要工作过程</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_Toc74140568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"_Toc74140569" </w:instrText>
      </w:r>
      <w:r>
        <w:fldChar w:fldCharType="separate"/>
      </w:r>
      <w:r>
        <w:rPr>
          <w:rStyle w:val="12"/>
          <w:rFonts w:hint="eastAsia" w:ascii="宋体" w:hAnsi="宋体" w:eastAsia="宋体" w:cs="Times New Roman"/>
          <w:sz w:val="24"/>
          <w:szCs w:val="24"/>
        </w:rPr>
        <w:t>四、国内外相关情况说明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_Toc74140569 \h </w:instrText>
      </w:r>
      <w:r>
        <w:rPr>
          <w:rFonts w:ascii="宋体" w:hAnsi="宋体" w:eastAsia="宋体"/>
          <w:sz w:val="24"/>
          <w:szCs w:val="24"/>
        </w:rPr>
        <w:fldChar w:fldCharType="separate"/>
      </w:r>
      <w:r>
        <w:rPr>
          <w:rFonts w:ascii="宋体" w:hAnsi="宋体" w:eastAsia="宋体"/>
          <w:sz w:val="24"/>
          <w:szCs w:val="24"/>
        </w:rPr>
        <w:t>2</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"_Toc74140570" </w:instrText>
      </w:r>
      <w:r>
        <w:fldChar w:fldCharType="separate"/>
      </w:r>
      <w:r>
        <w:rPr>
          <w:rStyle w:val="12"/>
          <w:rFonts w:hint="eastAsia" w:ascii="宋体" w:hAnsi="宋体" w:eastAsia="宋体" w:cs="Times New Roman"/>
          <w:sz w:val="24"/>
          <w:szCs w:val="24"/>
        </w:rPr>
        <w:t>五、相关法律法规及标准情况说明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_Toc74140570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"_Toc74140571" </w:instrText>
      </w:r>
      <w:r>
        <w:fldChar w:fldCharType="separate"/>
      </w:r>
      <w:r>
        <w:rPr>
          <w:rStyle w:val="12"/>
          <w:rFonts w:hint="eastAsia" w:ascii="宋体" w:hAnsi="宋体" w:eastAsia="宋体" w:cs="Times New Roman"/>
          <w:sz w:val="24"/>
          <w:szCs w:val="24"/>
        </w:rPr>
        <w:t>六、编制内容及说明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_Toc74140571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"_Toc74140572" </w:instrText>
      </w:r>
      <w:r>
        <w:fldChar w:fldCharType="separate"/>
      </w:r>
      <w:r>
        <w:rPr>
          <w:rStyle w:val="12"/>
          <w:rFonts w:hint="eastAsia" w:ascii="宋体" w:hAnsi="宋体" w:eastAsia="宋体" w:cs="Times New Roman"/>
          <w:sz w:val="24"/>
          <w:szCs w:val="24"/>
        </w:rPr>
        <w:t>七、主要条文说明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_Toc74140572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"_Toc74140573" </w:instrText>
      </w:r>
      <w:r>
        <w:fldChar w:fldCharType="separate"/>
      </w:r>
      <w:r>
        <w:rPr>
          <w:rStyle w:val="12"/>
          <w:rFonts w:hint="eastAsia" w:ascii="宋体" w:hAnsi="宋体" w:eastAsia="宋体" w:cs="Times New Roman"/>
          <w:sz w:val="24"/>
          <w:szCs w:val="24"/>
        </w:rPr>
        <w:t>八、标准实施建议</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_Toc74140573 \h </w:instrText>
      </w:r>
      <w:r>
        <w:rPr>
          <w:rFonts w:ascii="宋体" w:hAnsi="宋体" w:eastAsia="宋体"/>
          <w:sz w:val="24"/>
          <w:szCs w:val="24"/>
        </w:rPr>
        <w:fldChar w:fldCharType="separate"/>
      </w:r>
      <w:r>
        <w:rPr>
          <w:rFonts w:ascii="宋体" w:hAnsi="宋体" w:eastAsia="宋体"/>
          <w:sz w:val="24"/>
          <w:szCs w:val="24"/>
        </w:rPr>
        <w:t>8</w:t>
      </w:r>
      <w:r>
        <w:rPr>
          <w:rFonts w:ascii="宋体" w:hAnsi="宋体" w:eastAsia="宋体"/>
          <w:sz w:val="24"/>
          <w:szCs w:val="24"/>
        </w:rPr>
        <w:fldChar w:fldCharType="end"/>
      </w:r>
      <w:r>
        <w:rPr>
          <w:rFonts w:ascii="宋体" w:hAnsi="宋体" w:eastAsia="宋体"/>
          <w:sz w:val="24"/>
          <w:szCs w:val="24"/>
        </w:rPr>
        <w:fldChar w:fldCharType="end"/>
      </w:r>
    </w:p>
    <w:p>
      <w:pPr>
        <w:pStyle w:val="7"/>
        <w:tabs>
          <w:tab w:val="right" w:leader="dot" w:pos="8296"/>
        </w:tabs>
        <w:spacing w:line="360" w:lineRule="auto"/>
        <w:rPr>
          <w:rFonts w:ascii="宋体" w:hAnsi="宋体" w:eastAsia="宋体"/>
          <w:sz w:val="24"/>
          <w:szCs w:val="24"/>
        </w:rPr>
      </w:pPr>
      <w:r>
        <w:fldChar w:fldCharType="begin"/>
      </w:r>
      <w:r>
        <w:instrText xml:space="preserve"> HYPERLINK \l "_Toc74140574" </w:instrText>
      </w:r>
      <w:r>
        <w:fldChar w:fldCharType="separate"/>
      </w:r>
      <w:r>
        <w:rPr>
          <w:rStyle w:val="12"/>
          <w:rFonts w:hint="eastAsia" w:ascii="宋体" w:hAnsi="宋体" w:eastAsia="宋体" w:cs="Times New Roman"/>
          <w:sz w:val="24"/>
          <w:szCs w:val="24"/>
        </w:rPr>
        <w:t>九、标准起草单位及人员</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_Toc74140574 \h </w:instrText>
      </w:r>
      <w:r>
        <w:rPr>
          <w:rFonts w:ascii="宋体" w:hAnsi="宋体" w:eastAsia="宋体"/>
          <w:sz w:val="24"/>
          <w:szCs w:val="24"/>
        </w:rPr>
        <w:fldChar w:fldCharType="separate"/>
      </w:r>
      <w:r>
        <w:rPr>
          <w:rFonts w:ascii="宋体" w:hAnsi="宋体" w:eastAsia="宋体"/>
          <w:sz w:val="24"/>
          <w:szCs w:val="24"/>
        </w:rPr>
        <w:t>8</w:t>
      </w:r>
      <w:r>
        <w:rPr>
          <w:rFonts w:ascii="宋体" w:hAnsi="宋体" w:eastAsia="宋体"/>
          <w:sz w:val="24"/>
          <w:szCs w:val="24"/>
        </w:rPr>
        <w:fldChar w:fldCharType="end"/>
      </w:r>
      <w:r>
        <w:rPr>
          <w:rFonts w:ascii="宋体" w:hAnsi="宋体" w:eastAsia="宋体"/>
          <w:sz w:val="24"/>
          <w:szCs w:val="24"/>
        </w:rPr>
        <w:fldChar w:fldCharType="end"/>
      </w:r>
    </w:p>
    <w:p>
      <w:pPr>
        <w:widowControl/>
        <w:spacing w:line="360" w:lineRule="auto"/>
        <w:jc w:val="center"/>
        <w:rPr>
          <w:rFonts w:ascii="Times New Roman" w:hAnsi="Times New Roman" w:eastAsia="宋体" w:cs="Times New Roman"/>
          <w:sz w:val="24"/>
          <w:szCs w:val="24"/>
        </w:rPr>
        <w:sectPr>
          <w:headerReference r:id="rId4" w:type="default"/>
          <w:pgSz w:w="11906" w:h="16838"/>
          <w:pgMar w:top="1440" w:right="1800" w:bottom="1440" w:left="1800" w:header="851" w:footer="992" w:gutter="0"/>
          <w:pgNumType w:start="1"/>
          <w:cols w:space="425" w:num="1"/>
          <w:docGrid w:type="lines" w:linePitch="312" w:charSpace="0"/>
        </w:sectPr>
      </w:pPr>
      <w:r>
        <w:rPr>
          <w:rFonts w:ascii="宋体" w:hAnsi="宋体" w:eastAsia="宋体" w:cs="Times New Roman"/>
          <w:sz w:val="24"/>
          <w:szCs w:val="24"/>
        </w:rPr>
        <w:fldChar w:fldCharType="end"/>
      </w:r>
    </w:p>
    <w:p>
      <w:pPr>
        <w:widowControl/>
        <w:spacing w:line="360" w:lineRule="auto"/>
        <w:jc w:val="center"/>
        <w:rPr>
          <w:rFonts w:hint="eastAsia" w:ascii="Times New Roman" w:hAnsi="Times New Roman" w:eastAsia="宋体" w:cs="Times New Roman"/>
          <w:b/>
          <w:spacing w:val="-10"/>
          <w:sz w:val="44"/>
          <w:szCs w:val="44"/>
        </w:rPr>
      </w:pPr>
      <w:r>
        <w:rPr>
          <w:rFonts w:hint="eastAsia" w:ascii="Times New Roman" w:hAnsi="Times New Roman" w:eastAsia="宋体" w:cs="Times New Roman"/>
          <w:b/>
          <w:spacing w:val="-10"/>
          <w:sz w:val="44"/>
          <w:szCs w:val="44"/>
        </w:rPr>
        <w:t>《导轨式胶轮系统</w:t>
      </w:r>
      <w:r>
        <w:rPr>
          <w:rFonts w:hint="default" w:ascii="Times New Roman" w:hAnsi="Times New Roman" w:eastAsia="宋体" w:cs="Times New Roman"/>
          <w:b/>
          <w:spacing w:val="-10"/>
          <w:sz w:val="44"/>
          <w:szCs w:val="44"/>
          <w:lang w:val="en-US"/>
        </w:rPr>
        <w:t>客运组织与服务管理规范</w:t>
      </w:r>
      <w:r>
        <w:rPr>
          <w:rFonts w:hint="eastAsia" w:ascii="Times New Roman" w:hAnsi="Times New Roman" w:eastAsia="宋体" w:cs="Times New Roman"/>
          <w:b/>
          <w:spacing w:val="-10"/>
          <w:sz w:val="44"/>
          <w:szCs w:val="44"/>
        </w:rPr>
        <w:t>》</w:t>
      </w:r>
    </w:p>
    <w:p>
      <w:pPr>
        <w:widowControl/>
        <w:spacing w:line="36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编制说明</w:t>
      </w:r>
    </w:p>
    <w:p>
      <w:pPr>
        <w:widowControl/>
        <w:spacing w:line="360" w:lineRule="auto"/>
        <w:jc w:val="center"/>
        <w:rPr>
          <w:rFonts w:ascii="Times New Roman" w:hAnsi="Times New Roman" w:eastAsia="宋体" w:cs="Times New Roman"/>
          <w:b/>
          <w:sz w:val="44"/>
          <w:szCs w:val="44"/>
        </w:rPr>
      </w:pPr>
    </w:p>
    <w:p>
      <w:pPr>
        <w:outlineLvl w:val="0"/>
        <w:rPr>
          <w:rFonts w:ascii="Times New Roman" w:hAnsi="Times New Roman" w:eastAsia="宋体" w:cs="Times New Roman"/>
          <w:b/>
          <w:sz w:val="28"/>
          <w:szCs w:val="28"/>
        </w:rPr>
      </w:pPr>
      <w:bookmarkStart w:id="0" w:name="_Toc74140566"/>
      <w:r>
        <w:rPr>
          <w:rFonts w:ascii="Times New Roman" w:hAnsi="Times New Roman" w:eastAsia="宋体" w:cs="Times New Roman"/>
          <w:b/>
          <w:sz w:val="28"/>
          <w:szCs w:val="28"/>
        </w:rPr>
        <w:t>一、任务来源</w:t>
      </w:r>
      <w:bookmarkEnd w:id="0"/>
    </w:p>
    <w:p>
      <w:pPr>
        <w:tabs>
          <w:tab w:val="left" w:pos="1440"/>
        </w:tabs>
        <w:spacing w:line="360" w:lineRule="auto"/>
        <w:ind w:firstLine="480" w:firstLineChars="200"/>
        <w:rPr>
          <w:rFonts w:hint="eastAsia" w:ascii="宋体" w:hAnsi="宋体" w:eastAsia="宋体" w:cs="宋体"/>
          <w:sz w:val="24"/>
          <w:szCs w:val="24"/>
          <w:lang w:val="en-US" w:eastAsia="zh-CN"/>
        </w:rPr>
      </w:pPr>
      <w:bookmarkStart w:id="1" w:name="_Toc74140567"/>
      <w:r>
        <w:rPr>
          <w:rFonts w:hint="eastAsia" w:ascii="宋体" w:hAnsi="宋体" w:eastAsia="宋体" w:cs="宋体"/>
          <w:sz w:val="24"/>
          <w:szCs w:val="24"/>
          <w:lang w:val="en-US" w:eastAsia="zh-CN"/>
        </w:rPr>
        <w:t>为进一步规范城市轨道交通客运组织与服务工作，推动城市轨道交通服务质量提升，更好地保障人民群众安全、便捷出行，2019年10月16日，交通运输部根据《国务院办公厅关于保障城市轨道交通安全运行的意见》（国办发〔2018〕13号）、《城市轨道交通运营管理规定》（交通运输部令2018年第8号）等有关要求发布了《城市轨道交通客运组织与服务管理办法》（交运规</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15号），据此，为了弥补导轨式胶轮系统客运组织与服务质量管理的</w:t>
      </w:r>
      <w:r>
        <w:rPr>
          <w:rFonts w:hint="eastAsia" w:ascii="宋体" w:hAnsi="宋体" w:eastAsia="宋体" w:cs="宋体"/>
          <w:sz w:val="24"/>
          <w:szCs w:val="24"/>
          <w:lang w:val="en-US" w:eastAsia="zh-CN"/>
        </w:rPr>
        <w:t>标准</w:t>
      </w:r>
      <w:r>
        <w:rPr>
          <w:rFonts w:hint="eastAsia" w:ascii="宋体" w:hAnsi="宋体" w:eastAsia="宋体" w:cs="宋体"/>
          <w:sz w:val="24"/>
          <w:szCs w:val="24"/>
          <w:lang w:val="en-US" w:eastAsia="zh-CN"/>
        </w:rPr>
        <w:t>空白，</w:t>
      </w:r>
      <w:r>
        <w:rPr>
          <w:rFonts w:hint="eastAsia" w:ascii="宋体" w:hAnsi="宋体" w:eastAsia="宋体" w:cs="宋体"/>
          <w:sz w:val="24"/>
          <w:szCs w:val="24"/>
        </w:rPr>
        <w:t>进一步推进城市轨道交通行业标准化工作</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深圳市</w:t>
      </w:r>
      <w:r>
        <w:rPr>
          <w:rFonts w:hint="eastAsia" w:ascii="宋体" w:hAnsi="宋体" w:eastAsia="宋体" w:cs="宋体"/>
          <w:sz w:val="24"/>
          <w:szCs w:val="24"/>
          <w:lang w:eastAsia="zh-CN"/>
        </w:rPr>
        <w:t>城市轨道交通协会</w:t>
      </w:r>
      <w:r>
        <w:rPr>
          <w:rFonts w:hint="eastAsia" w:ascii="宋体" w:hAnsi="宋体" w:eastAsia="宋体" w:cs="宋体"/>
          <w:sz w:val="24"/>
          <w:szCs w:val="24"/>
          <w:lang w:val="en-US" w:eastAsia="zh-CN"/>
        </w:rPr>
        <w:t>于2022年6月</w:t>
      </w:r>
      <w:r>
        <w:rPr>
          <w:rFonts w:hint="default" w:ascii="宋体" w:hAnsi="宋体" w:eastAsia="宋体" w:cs="宋体"/>
          <w:sz w:val="24"/>
          <w:szCs w:val="24"/>
          <w:lang w:val="en-US" w:eastAsia="zh-CN"/>
        </w:rPr>
        <w:t>20</w:t>
      </w:r>
      <w:r>
        <w:rPr>
          <w:rFonts w:hint="eastAsia" w:ascii="宋体" w:hAnsi="宋体" w:eastAsia="宋体" w:cs="宋体"/>
          <w:sz w:val="24"/>
          <w:szCs w:val="24"/>
          <w:lang w:val="en-US" w:eastAsia="zh-CN"/>
        </w:rPr>
        <w:t>日</w:t>
      </w:r>
      <w:r>
        <w:rPr>
          <w:rFonts w:hint="eastAsia" w:ascii="宋体" w:hAnsi="宋体" w:eastAsia="宋体" w:cs="宋体"/>
          <w:sz w:val="24"/>
          <w:szCs w:val="24"/>
          <w:lang w:eastAsia="zh-CN"/>
        </w:rPr>
        <w:t>发布《关于&lt;</w:t>
      </w:r>
      <w:r>
        <w:rPr>
          <w:rFonts w:hint="eastAsia" w:ascii="宋体" w:hAnsi="宋体" w:eastAsia="宋体" w:cs="宋体"/>
          <w:sz w:val="24"/>
          <w:szCs w:val="24"/>
          <w:lang w:val="en-US" w:eastAsia="zh-CN"/>
        </w:rPr>
        <w:t>导轨式胶轮系统</w:t>
      </w:r>
      <w:r>
        <w:rPr>
          <w:rFonts w:hint="eastAsia" w:ascii="宋体" w:hAnsi="宋体" w:eastAsia="宋体" w:cs="宋体"/>
          <w:sz w:val="24"/>
          <w:szCs w:val="24"/>
          <w:lang w:val="en-US" w:eastAsia="zh-CN"/>
        </w:rPr>
        <w:t>正式运营安全评估规范&gt;等3项</w:t>
      </w:r>
      <w:r>
        <w:rPr>
          <w:rFonts w:hint="eastAsia" w:ascii="宋体" w:hAnsi="宋体" w:eastAsia="宋体" w:cs="宋体"/>
          <w:sz w:val="24"/>
          <w:szCs w:val="24"/>
          <w:lang w:eastAsia="zh-CN"/>
        </w:rPr>
        <w:t>团体标准立项的通知》，提出制定《导轨式胶轮系统</w:t>
      </w:r>
      <w:r>
        <w:rPr>
          <w:rFonts w:hint="eastAsia" w:ascii="宋体" w:hAnsi="宋体" w:eastAsia="宋体" w:cs="宋体"/>
          <w:sz w:val="24"/>
          <w:szCs w:val="24"/>
          <w:lang w:val="en-US" w:eastAsia="zh-CN"/>
        </w:rPr>
        <w:t>客运组织与服务管理规范</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p>
    <w:p>
      <w:pPr>
        <w:outlineLvl w:val="0"/>
        <w:rPr>
          <w:rFonts w:ascii="Times New Roman" w:hAnsi="Times New Roman" w:eastAsia="宋体" w:cs="Times New Roman"/>
          <w:b/>
          <w:sz w:val="28"/>
          <w:szCs w:val="28"/>
        </w:rPr>
      </w:pPr>
      <w:r>
        <w:rPr>
          <w:rFonts w:ascii="Times New Roman" w:hAnsi="Times New Roman" w:eastAsia="宋体" w:cs="Times New Roman"/>
          <w:b/>
          <w:sz w:val="28"/>
          <w:szCs w:val="28"/>
        </w:rPr>
        <w:t>二、标准制定的必要性</w:t>
      </w:r>
      <w:bookmarkEnd w:id="1"/>
    </w:p>
    <w:p>
      <w:pPr>
        <w:tabs>
          <w:tab w:val="left" w:pos="1440"/>
        </w:tabs>
        <w:spacing w:line="360" w:lineRule="auto"/>
        <w:ind w:firstLine="480" w:firstLineChars="20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导轨式胶轮系统作为新型低运能</w:t>
      </w:r>
      <w:r>
        <w:rPr>
          <w:rFonts w:hint="eastAsia" w:ascii="Times New Roman" w:hAnsi="Times New Roman" w:eastAsia="宋体" w:cs="Times New Roman"/>
          <w:sz w:val="24"/>
          <w:szCs w:val="24"/>
          <w:lang w:val="en-US" w:eastAsia="zh-CN"/>
        </w:rPr>
        <w:t>城市轨道交通</w:t>
      </w:r>
      <w:r>
        <w:rPr>
          <w:rFonts w:hint="eastAsia" w:ascii="Times New Roman" w:hAnsi="Times New Roman" w:eastAsia="宋体" w:cs="Times New Roman"/>
          <w:sz w:val="24"/>
          <w:szCs w:val="24"/>
        </w:rPr>
        <w:t>系统，符合城市轨道交通绿色、智能、高效的发展趋势，拥有较好的应用前景。与传统的</w:t>
      </w:r>
      <w:r>
        <w:rPr>
          <w:rFonts w:hint="eastAsia" w:ascii="Times New Roman" w:hAnsi="Times New Roman" w:eastAsia="宋体" w:cs="Times New Roman"/>
          <w:sz w:val="24"/>
          <w:szCs w:val="24"/>
          <w:lang w:val="en-US" w:eastAsia="zh-CN"/>
        </w:rPr>
        <w:t>城市</w:t>
      </w:r>
      <w:r>
        <w:rPr>
          <w:rFonts w:hint="eastAsia" w:ascii="Times New Roman" w:hAnsi="Times New Roman" w:eastAsia="宋体" w:cs="Times New Roman"/>
          <w:sz w:val="24"/>
          <w:szCs w:val="24"/>
        </w:rPr>
        <w:t>轨道交通</w:t>
      </w:r>
      <w:r>
        <w:rPr>
          <w:rFonts w:hint="eastAsia" w:ascii="Times New Roman" w:hAnsi="Times New Roman" w:eastAsia="宋体" w:cs="Times New Roman"/>
          <w:sz w:val="24"/>
          <w:szCs w:val="24"/>
          <w:lang w:val="en-US" w:eastAsia="zh-CN"/>
        </w:rPr>
        <w:t>相比</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导轨式胶轮系统</w:t>
      </w:r>
      <w:r>
        <w:rPr>
          <w:rFonts w:hint="eastAsia" w:ascii="Times New Roman" w:hAnsi="Times New Roman" w:eastAsia="宋体" w:cs="Times New Roman"/>
          <w:sz w:val="24"/>
          <w:szCs w:val="24"/>
        </w:rPr>
        <w:t>具有不占用道路资源、建设成本低、建造周期短、环境友好、智能化程度高的优点</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并融入了全自动驾驶、全自动智能视频分析系统、一键开关站等高智能化设备</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与传统</w:t>
      </w:r>
      <w:r>
        <w:rPr>
          <w:rFonts w:hint="eastAsia" w:ascii="Times New Roman" w:hAnsi="Times New Roman" w:eastAsia="宋体" w:cs="Times New Roman"/>
          <w:sz w:val="24"/>
          <w:szCs w:val="24"/>
          <w:lang w:val="en-US" w:eastAsia="zh-CN"/>
        </w:rPr>
        <w:t>城市</w:t>
      </w:r>
      <w:r>
        <w:rPr>
          <w:rFonts w:hint="eastAsia" w:ascii="Times New Roman" w:hAnsi="Times New Roman" w:eastAsia="宋体" w:cs="Times New Roman"/>
          <w:sz w:val="24"/>
          <w:szCs w:val="24"/>
        </w:rPr>
        <w:t>轨道交通的管理模式、人员配置工作流程有</w:t>
      </w:r>
      <w:r>
        <w:rPr>
          <w:rFonts w:hint="eastAsia" w:ascii="Times New Roman" w:hAnsi="Times New Roman" w:eastAsia="宋体" w:cs="Times New Roman"/>
          <w:sz w:val="24"/>
          <w:szCs w:val="24"/>
          <w:lang w:val="en-US" w:eastAsia="zh-CN"/>
        </w:rPr>
        <w:t>着</w:t>
      </w:r>
      <w:r>
        <w:rPr>
          <w:rFonts w:hint="eastAsia" w:ascii="Times New Roman" w:hAnsi="Times New Roman" w:eastAsia="宋体" w:cs="Times New Roman"/>
          <w:sz w:val="24"/>
          <w:szCs w:val="24"/>
        </w:rPr>
        <w:t>较大差距</w:t>
      </w:r>
      <w:r>
        <w:rPr>
          <w:rFonts w:hint="eastAsia" w:ascii="Times New Roman" w:hAnsi="Times New Roman" w:eastAsia="宋体" w:cs="Times New Roman"/>
          <w:sz w:val="24"/>
          <w:szCs w:val="24"/>
          <w:lang w:eastAsia="zh-CN"/>
        </w:rPr>
        <w:t>。</w:t>
      </w:r>
    </w:p>
    <w:p>
      <w:pPr>
        <w:tabs>
          <w:tab w:val="left" w:pos="1440"/>
        </w:tabs>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目前国内外城市轨道交通行业尚无关于导轨式胶轮系统客运组织与服务的相关规范，迫切需要制定相关标准，指导导轨式胶轮系统在运营过程中的客运服务工作，推动城市轨道交通服务质量提升，更好地保障人民群众安全、便捷出行。</w:t>
      </w:r>
    </w:p>
    <w:p>
      <w:pPr>
        <w:outlineLvl w:val="0"/>
        <w:rPr>
          <w:rFonts w:ascii="Times New Roman" w:hAnsi="Times New Roman" w:eastAsia="宋体" w:cs="Times New Roman"/>
          <w:b/>
          <w:sz w:val="28"/>
          <w:szCs w:val="28"/>
        </w:rPr>
      </w:pPr>
      <w:bookmarkStart w:id="2" w:name="_Toc74140568"/>
      <w:r>
        <w:rPr>
          <w:rFonts w:ascii="Times New Roman" w:hAnsi="Times New Roman" w:eastAsia="宋体" w:cs="Times New Roman"/>
          <w:b/>
          <w:sz w:val="28"/>
          <w:szCs w:val="28"/>
        </w:rPr>
        <w:t>三、主要工作过程</w:t>
      </w:r>
      <w:bookmarkEnd w:id="2"/>
    </w:p>
    <w:p>
      <w:pPr>
        <w:tabs>
          <w:tab w:val="left" w:pos="7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月，成立标准编制小组，正式启动标准编制工作。</w:t>
      </w:r>
    </w:p>
    <w:p>
      <w:pPr>
        <w:tabs>
          <w:tab w:val="left" w:pos="7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月，编制组讨论并确定标准编制大纲、各单位任务分工及工作计划。</w:t>
      </w:r>
    </w:p>
    <w:p>
      <w:pPr>
        <w:tabs>
          <w:tab w:val="left" w:pos="7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月，编制组明确标准编制过程中的关键问题。</w:t>
      </w:r>
    </w:p>
    <w:p>
      <w:pPr>
        <w:tabs>
          <w:tab w:val="left" w:pos="7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2022年6</w:t>
      </w:r>
      <w:r>
        <w:rPr>
          <w:rFonts w:hint="eastAsia" w:ascii="宋体" w:hAnsi="宋体" w:eastAsia="宋体" w:cs="宋体"/>
          <w:sz w:val="24"/>
          <w:szCs w:val="24"/>
          <w:highlight w:val="none"/>
        </w:rPr>
        <w:t>月，编制组完成标准初稿。</w:t>
      </w:r>
    </w:p>
    <w:p>
      <w:pPr>
        <w:tabs>
          <w:tab w:val="left" w:pos="72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月，完成标准格式审查，形成征求意见稿。</w:t>
      </w:r>
    </w:p>
    <w:p>
      <w:pPr>
        <w:outlineLvl w:val="0"/>
        <w:rPr>
          <w:rFonts w:ascii="Times New Roman" w:hAnsi="Times New Roman" w:eastAsia="宋体" w:cs="Times New Roman"/>
          <w:b/>
          <w:sz w:val="28"/>
          <w:szCs w:val="28"/>
        </w:rPr>
      </w:pPr>
      <w:bookmarkStart w:id="3" w:name="_Toc74140569"/>
      <w:r>
        <w:rPr>
          <w:rFonts w:ascii="Times New Roman" w:hAnsi="Times New Roman" w:eastAsia="宋体" w:cs="Times New Roman"/>
          <w:b/>
          <w:sz w:val="28"/>
          <w:szCs w:val="28"/>
        </w:rPr>
        <w:t>四、国</w:t>
      </w:r>
      <w:r>
        <w:rPr>
          <w:rFonts w:hint="eastAsia" w:ascii="Times New Roman" w:hAnsi="Times New Roman" w:eastAsia="宋体" w:cs="Times New Roman"/>
          <w:b/>
          <w:sz w:val="28"/>
          <w:szCs w:val="28"/>
        </w:rPr>
        <w:t>内外相关</w:t>
      </w:r>
      <w:r>
        <w:rPr>
          <w:rFonts w:ascii="Times New Roman" w:hAnsi="Times New Roman" w:eastAsia="宋体" w:cs="Times New Roman"/>
          <w:b/>
          <w:sz w:val="28"/>
          <w:szCs w:val="28"/>
        </w:rPr>
        <w:t>情况</w:t>
      </w:r>
      <w:r>
        <w:rPr>
          <w:rFonts w:hint="eastAsia" w:ascii="Times New Roman" w:hAnsi="Times New Roman" w:eastAsia="宋体" w:cs="Times New Roman"/>
          <w:b/>
          <w:sz w:val="28"/>
          <w:szCs w:val="28"/>
        </w:rPr>
        <w:t>说明</w:t>
      </w:r>
      <w:bookmarkEnd w:id="3"/>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导轨式胶轮系统是轨道交通与汽车技术的跨界融合，是一种新型的城市轨道交通系统</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实现</w:t>
      </w:r>
      <w:r>
        <w:rPr>
          <w:rFonts w:hint="eastAsia" w:ascii="Times New Roman" w:hAnsi="Times New Roman" w:eastAsia="宋体" w:cs="Times New Roman"/>
          <w:sz w:val="24"/>
          <w:szCs w:val="24"/>
          <w:lang w:val="en-US" w:eastAsia="zh-CN"/>
        </w:rPr>
        <w:t>了</w:t>
      </w:r>
      <w:r>
        <w:rPr>
          <w:rFonts w:hint="eastAsia" w:ascii="Times New Roman" w:hAnsi="Times New Roman" w:eastAsia="宋体" w:cs="Times New Roman"/>
          <w:sz w:val="24"/>
          <w:szCs w:val="24"/>
        </w:rPr>
        <w:t>我国自主化低运量</w:t>
      </w:r>
      <w:r>
        <w:rPr>
          <w:rFonts w:hint="eastAsia" w:ascii="Times New Roman" w:hAnsi="Times New Roman" w:eastAsia="宋体" w:cs="Times New Roman"/>
          <w:sz w:val="24"/>
          <w:szCs w:val="24"/>
          <w:lang w:val="en-US" w:eastAsia="zh-CN"/>
        </w:rPr>
        <w:t>城市</w:t>
      </w:r>
      <w:r>
        <w:rPr>
          <w:rFonts w:hint="eastAsia" w:ascii="Times New Roman" w:hAnsi="Times New Roman" w:eastAsia="宋体" w:cs="Times New Roman"/>
          <w:sz w:val="24"/>
          <w:szCs w:val="24"/>
        </w:rPr>
        <w:t>轨道交通制式的创新、关键系统及核心部件自主技术的创新和对传统运营模式的创新，具有自主化、智能化等特点。</w:t>
      </w:r>
    </w:p>
    <w:p>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目前国内外城市轨道交通行业尚无针对指导导轨式胶轮系统客运组织服务的相关标准，国内城市轨道交通客运组织与服务管理的有关情况如下：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自2008年大部制改革，国家将城市轨道交通指导运营的职能划入交通运输部。交通运输部高度重视</w:t>
      </w:r>
      <w:r>
        <w:rPr>
          <w:rFonts w:hint="eastAsia" w:ascii="宋体" w:hAnsi="宋体" w:eastAsia="宋体" w:cs="宋体"/>
          <w:sz w:val="24"/>
          <w:szCs w:val="24"/>
          <w:lang w:val="en-US" w:eastAsia="zh-CN"/>
        </w:rPr>
        <w:t>城市</w:t>
      </w:r>
      <w:r>
        <w:rPr>
          <w:rFonts w:hint="eastAsia" w:ascii="宋体" w:hAnsi="宋体" w:eastAsia="宋体" w:cs="宋体"/>
          <w:sz w:val="24"/>
          <w:szCs w:val="24"/>
        </w:rPr>
        <w:t>轨道交通标准制定，积极筹备建立了“全国城市客运标准化技术委员会”，并编制了《2013—2015年城市客运重点标准制修订计划》</w:t>
      </w:r>
      <w:r>
        <w:rPr>
          <w:rFonts w:hint="eastAsia" w:ascii="宋体" w:hAnsi="宋体" w:eastAsia="宋体" w:cs="宋体"/>
          <w:sz w:val="24"/>
          <w:szCs w:val="24"/>
          <w:lang w:eastAsia="zh-CN"/>
        </w:rPr>
        <w:t>，</w:t>
      </w:r>
      <w:r>
        <w:rPr>
          <w:rFonts w:hint="eastAsia" w:ascii="宋体" w:hAnsi="宋体" w:eastAsia="宋体" w:cs="宋体"/>
          <w:sz w:val="24"/>
          <w:szCs w:val="24"/>
        </w:rPr>
        <w:t>用三年时间制定和修订国标和行标60多项。</w:t>
      </w:r>
      <w:bookmarkStart w:id="9" w:name="_GoBack"/>
      <w:bookmarkEnd w:id="9"/>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2008年，中国城市规划设计研究院、建设部地铁与轻轨研究中心</w:t>
      </w:r>
      <w:r>
        <w:rPr>
          <w:rFonts w:hint="eastAsia" w:ascii="宋体" w:hAnsi="宋体" w:eastAsia="宋体" w:cs="宋体"/>
          <w:sz w:val="24"/>
          <w:szCs w:val="24"/>
          <w:lang w:val="en-US" w:eastAsia="zh-CN"/>
        </w:rPr>
        <w:t>牵头</w:t>
      </w:r>
      <w:r>
        <w:rPr>
          <w:rFonts w:hint="eastAsia" w:ascii="宋体" w:hAnsi="宋体" w:eastAsia="宋体" w:cs="宋体"/>
          <w:sz w:val="24"/>
          <w:szCs w:val="24"/>
        </w:rPr>
        <w:t>起草了《城市轨道交通客运服务》（GB/T 22486</w:t>
      </w:r>
      <w:r>
        <w:rPr>
          <w:rFonts w:hint="eastAsia" w:ascii="宋体" w:hAnsi="宋体" w:eastAsia="宋体" w:cs="宋体"/>
          <w:sz w:val="24"/>
          <w:szCs w:val="24"/>
          <w:lang w:eastAsia="zh-CN"/>
        </w:rPr>
        <w:t>—</w:t>
      </w:r>
      <w:r>
        <w:rPr>
          <w:rFonts w:hint="eastAsia" w:ascii="宋体" w:hAnsi="宋体" w:eastAsia="宋体" w:cs="宋体"/>
          <w:sz w:val="24"/>
          <w:szCs w:val="24"/>
        </w:rPr>
        <w:t>2008），</w:t>
      </w:r>
      <w:r>
        <w:rPr>
          <w:rFonts w:hint="eastAsia" w:ascii="宋体" w:hAnsi="宋体" w:eastAsia="宋体" w:cs="宋体"/>
          <w:sz w:val="24"/>
          <w:szCs w:val="24"/>
          <w:lang w:val="en-US" w:eastAsia="zh-CN"/>
        </w:rPr>
        <w:t>该标准</w:t>
      </w:r>
      <w:r>
        <w:rPr>
          <w:rFonts w:hint="eastAsia" w:ascii="宋体" w:hAnsi="宋体" w:eastAsia="宋体" w:cs="宋体"/>
          <w:sz w:val="24"/>
          <w:szCs w:val="24"/>
        </w:rPr>
        <w:t>是保障线路运营服务质量的指导性文件，规定了城市轨道交通客运服务的基本要求、服务管理、服务设施、服务安全和服务环境，要求各城市轨道交通服务组织应达到安全、准时、便捷、舒适、文明的运营目标</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2013年，国家发布《城市轨道交通运营管理规范》（GB/T 30012</w:t>
      </w:r>
      <w:r>
        <w:rPr>
          <w:rFonts w:hint="eastAsia" w:ascii="宋体" w:hAnsi="宋体" w:eastAsia="宋体" w:cs="宋体"/>
          <w:sz w:val="24"/>
          <w:szCs w:val="24"/>
          <w:lang w:eastAsia="zh-CN"/>
        </w:rPr>
        <w:t>—</w:t>
      </w:r>
      <w:r>
        <w:rPr>
          <w:rFonts w:hint="eastAsia" w:ascii="宋体" w:hAnsi="宋体" w:eastAsia="宋体" w:cs="宋体"/>
          <w:sz w:val="24"/>
          <w:szCs w:val="24"/>
        </w:rPr>
        <w:t>2013），并于2014年4月开始实施，该标准规定了城市轨道交通运营的总体要求，以及行车组织、客运组织、车辆及车辆基地、设施设备、土建设施、人员和安全等方面的基本要求，细化了客运服务管理与票务组织管理的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2019年，交通运输部</w:t>
      </w:r>
      <w:r>
        <w:rPr>
          <w:rFonts w:hint="eastAsia" w:ascii="宋体" w:hAnsi="宋体" w:eastAsia="宋体" w:cs="宋体"/>
          <w:sz w:val="24"/>
          <w:szCs w:val="24"/>
          <w:lang w:val="en-US" w:eastAsia="zh-CN"/>
        </w:rPr>
        <w:t>发布</w:t>
      </w:r>
      <w:r>
        <w:rPr>
          <w:rFonts w:hint="eastAsia" w:ascii="宋体" w:hAnsi="宋体" w:eastAsia="宋体" w:cs="宋体"/>
          <w:sz w:val="24"/>
          <w:szCs w:val="24"/>
        </w:rPr>
        <w:t>《城市轨道交通客运组织与服务管理办法》（交运规〔2019〕15号），进一步规范了城市轨道交通客运组织与服务工作，推动了城市轨道交通服务质量提升，更好地保障了人民群众安全、便捷出行。</w:t>
      </w:r>
    </w:p>
    <w:p>
      <w:pPr>
        <w:spacing w:line="360" w:lineRule="auto"/>
        <w:ind w:firstLine="480" w:firstLineChars="200"/>
        <w:rPr>
          <w:rFonts w:hint="eastAsia" w:ascii="Times New Roman" w:hAnsi="Times New Roman" w:eastAsia="宋体" w:cs="Times New Roman"/>
          <w:sz w:val="24"/>
          <w:szCs w:val="24"/>
        </w:rPr>
      </w:pPr>
      <w:r>
        <w:rPr>
          <w:rFonts w:hint="eastAsia" w:ascii="宋体" w:hAnsi="宋体" w:eastAsia="宋体" w:cs="宋体"/>
          <w:sz w:val="24"/>
          <w:szCs w:val="24"/>
        </w:rPr>
        <w:t xml:space="preserve">2019年，中国城市轨道交通协会发布《城市轨道交通 </w:t>
      </w:r>
      <w:r>
        <w:rPr>
          <w:rFonts w:hint="default" w:ascii="宋体" w:hAnsi="宋体" w:eastAsia="宋体" w:cs="宋体"/>
          <w:sz w:val="24"/>
          <w:szCs w:val="24"/>
          <w:lang w:val="en-US"/>
        </w:rPr>
        <w:t xml:space="preserve"> </w:t>
      </w:r>
      <w:r>
        <w:rPr>
          <w:rFonts w:hint="eastAsia" w:ascii="宋体" w:hAnsi="宋体" w:eastAsia="宋体" w:cs="宋体"/>
          <w:sz w:val="24"/>
          <w:szCs w:val="24"/>
        </w:rPr>
        <w:t>全自动运行系统规范</w:t>
      </w:r>
      <w:r>
        <w:rPr>
          <w:rFonts w:hint="default" w:ascii="宋体" w:hAnsi="宋体" w:eastAsia="宋体" w:cs="宋体"/>
          <w:sz w:val="24"/>
          <w:szCs w:val="24"/>
          <w:lang w:val="en-US"/>
        </w:rPr>
        <w:t xml:space="preserve"> </w:t>
      </w:r>
      <w:r>
        <w:rPr>
          <w:rFonts w:hint="eastAsia" w:ascii="宋体" w:hAnsi="宋体" w:eastAsia="宋体" w:cs="宋体"/>
          <w:sz w:val="24"/>
          <w:szCs w:val="24"/>
        </w:rPr>
        <w:t xml:space="preserve"> 第7部分：运营管理》（T/CAMET 04017.7</w:t>
      </w:r>
      <w:r>
        <w:rPr>
          <w:rFonts w:hint="eastAsia" w:ascii="宋体" w:hAnsi="宋体" w:eastAsia="宋体" w:cs="宋体"/>
          <w:sz w:val="24"/>
          <w:szCs w:val="24"/>
          <w:lang w:eastAsia="zh-CN"/>
        </w:rPr>
        <w:t>—</w:t>
      </w:r>
      <w:r>
        <w:rPr>
          <w:rFonts w:hint="eastAsia" w:ascii="宋体" w:hAnsi="宋体" w:eastAsia="宋体" w:cs="宋体"/>
          <w:sz w:val="24"/>
          <w:szCs w:val="24"/>
        </w:rPr>
        <w:t>2019），</w:t>
      </w:r>
      <w:r>
        <w:rPr>
          <w:rFonts w:hint="eastAsia" w:ascii="宋体" w:hAnsi="宋体" w:eastAsia="宋体" w:cs="宋体"/>
          <w:sz w:val="24"/>
          <w:szCs w:val="24"/>
          <w:lang w:val="en-US" w:eastAsia="zh-CN"/>
        </w:rPr>
        <w:t>规定了城市</w:t>
      </w:r>
      <w:r>
        <w:rPr>
          <w:rFonts w:hint="eastAsia" w:ascii="宋体" w:hAnsi="宋体" w:eastAsia="宋体" w:cs="宋体"/>
          <w:sz w:val="24"/>
          <w:szCs w:val="24"/>
        </w:rPr>
        <w:t>轨道交通全自动运行系统</w:t>
      </w:r>
      <w:r>
        <w:rPr>
          <w:rFonts w:hint="eastAsia" w:ascii="宋体" w:hAnsi="宋体" w:eastAsia="宋体" w:cs="宋体"/>
          <w:sz w:val="24"/>
          <w:szCs w:val="24"/>
          <w:lang w:val="en-US" w:eastAsia="zh-CN"/>
        </w:rPr>
        <w:t>的</w:t>
      </w:r>
      <w:r>
        <w:rPr>
          <w:rFonts w:hint="eastAsia" w:ascii="宋体" w:hAnsi="宋体" w:eastAsia="宋体" w:cs="宋体"/>
          <w:sz w:val="24"/>
          <w:szCs w:val="24"/>
        </w:rPr>
        <w:t>行车组织、客运组织与服务、车辆基地管理、设施设备管理、人员管理、安全与应急管理等全自动运营管理业务的运营管理要求。</w:t>
      </w:r>
    </w:p>
    <w:p>
      <w:pPr>
        <w:outlineLvl w:val="0"/>
        <w:rPr>
          <w:rFonts w:ascii="Times New Roman" w:hAnsi="Times New Roman" w:eastAsia="宋体" w:cs="Times New Roman"/>
          <w:b/>
          <w:sz w:val="28"/>
          <w:szCs w:val="28"/>
        </w:rPr>
      </w:pPr>
      <w:bookmarkStart w:id="4" w:name="_Toc74140570"/>
      <w:r>
        <w:rPr>
          <w:rFonts w:hint="eastAsia" w:ascii="Times New Roman" w:hAnsi="Times New Roman" w:eastAsia="宋体" w:cs="Times New Roman"/>
          <w:b/>
          <w:sz w:val="28"/>
          <w:szCs w:val="28"/>
        </w:rPr>
        <w:t>五</w:t>
      </w:r>
      <w:r>
        <w:rPr>
          <w:rFonts w:ascii="Times New Roman" w:hAnsi="Times New Roman" w:eastAsia="宋体" w:cs="Times New Roman"/>
          <w:b/>
          <w:sz w:val="28"/>
          <w:szCs w:val="28"/>
        </w:rPr>
        <w:t>、相关</w:t>
      </w:r>
      <w:r>
        <w:rPr>
          <w:rFonts w:hint="eastAsia" w:ascii="Times New Roman" w:hAnsi="Times New Roman" w:eastAsia="宋体" w:cs="Times New Roman"/>
          <w:b/>
          <w:sz w:val="28"/>
          <w:szCs w:val="28"/>
        </w:rPr>
        <w:t>法律</w:t>
      </w:r>
      <w:r>
        <w:rPr>
          <w:rFonts w:ascii="Times New Roman" w:hAnsi="Times New Roman" w:eastAsia="宋体" w:cs="Times New Roman"/>
          <w:b/>
          <w:sz w:val="28"/>
          <w:szCs w:val="28"/>
        </w:rPr>
        <w:t>法规及标准</w:t>
      </w:r>
      <w:r>
        <w:rPr>
          <w:rFonts w:hint="eastAsia" w:ascii="Times New Roman" w:hAnsi="Times New Roman" w:eastAsia="宋体" w:cs="Times New Roman"/>
          <w:b/>
          <w:sz w:val="28"/>
          <w:szCs w:val="28"/>
        </w:rPr>
        <w:t>情况说明</w:t>
      </w:r>
      <w:bookmarkEnd w:id="4"/>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与</w:t>
      </w:r>
      <w:r>
        <w:rPr>
          <w:rFonts w:hint="eastAsia" w:ascii="宋体" w:hAnsi="宋体" w:eastAsia="宋体" w:cs="宋体"/>
          <w:sz w:val="24"/>
          <w:szCs w:val="24"/>
          <w:lang w:val="en-US" w:eastAsia="zh-CN"/>
        </w:rPr>
        <w:t>导轨式胶轮系统</w:t>
      </w:r>
      <w:r>
        <w:rPr>
          <w:rFonts w:hint="eastAsia" w:ascii="宋体" w:hAnsi="宋体" w:eastAsia="宋体" w:cs="宋体"/>
          <w:sz w:val="24"/>
          <w:szCs w:val="24"/>
        </w:rPr>
        <w:t>相关的法律法规</w:t>
      </w:r>
      <w:r>
        <w:rPr>
          <w:rFonts w:hint="eastAsia" w:ascii="宋体" w:hAnsi="宋体" w:eastAsia="宋体" w:cs="宋体"/>
          <w:sz w:val="24"/>
          <w:szCs w:val="24"/>
          <w:lang w:val="en-US" w:eastAsia="zh-CN"/>
        </w:rPr>
        <w:t>及标准</w:t>
      </w:r>
      <w:r>
        <w:rPr>
          <w:rFonts w:hint="eastAsia" w:ascii="宋体" w:hAnsi="宋体" w:eastAsia="宋体" w:cs="宋体"/>
          <w:sz w:val="24"/>
          <w:szCs w:val="24"/>
        </w:rPr>
        <w:t>有：</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（1）《国务院办公厅关于进一步加强城市轨道交通规划建设管理的意见》（国办发〔2018〕52号）</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（2）《国家发展改革委关于加强城市轨道交通规划建设管理的通知》（发改基础〔2015〕49号）</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（3）《住建部关于印发城市轨道交通建设工程验收管理暂行办法的通知》（建质〔2014〕42号）</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（4）《城市轨道交通运营管理规定》（交通运输部令2018年第8号）</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（5）《城市轨道交通初期运营前安全评估管理暂行办法》（交运规〔2019〕1号）</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default"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《城市轨道交通客运组织与服务管理办法》（交运规〔2019〕15号）</w:t>
      </w:r>
      <w:r>
        <w:rPr>
          <w:rFonts w:hint="eastAsia" w:ascii="宋体" w:hAnsi="宋体" w:eastAsia="宋体" w:cs="宋体"/>
          <w:sz w:val="24"/>
          <w:szCs w:val="24"/>
          <w:lang w:eastAsia="zh-CN"/>
        </w:rPr>
        <w:t>；</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default" w:ascii="宋体" w:hAnsi="宋体" w:eastAsia="宋体" w:cs="宋体"/>
          <w:sz w:val="24"/>
          <w:szCs w:val="24"/>
          <w:lang w:val="en-US" w:eastAsia="zh-CN"/>
        </w:rPr>
        <w:t>7</w:t>
      </w:r>
      <w:r>
        <w:rPr>
          <w:rFonts w:hint="eastAsia" w:ascii="宋体" w:hAnsi="宋体" w:eastAsia="宋体" w:cs="宋体"/>
          <w:sz w:val="24"/>
          <w:szCs w:val="24"/>
          <w:lang w:eastAsia="zh-CN"/>
        </w:rPr>
        <w:t>）《城市轨道交通客运服务》（GB/T 22486—2008）；</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default"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rPr>
        <w:t xml:space="preserve">《城市轨道交通 </w:t>
      </w:r>
      <w:r>
        <w:rPr>
          <w:rFonts w:hint="default" w:ascii="宋体" w:hAnsi="宋体" w:eastAsia="宋体" w:cs="宋体"/>
          <w:sz w:val="24"/>
          <w:szCs w:val="24"/>
          <w:lang w:val="en-US"/>
        </w:rPr>
        <w:t xml:space="preserve"> </w:t>
      </w:r>
      <w:r>
        <w:rPr>
          <w:rFonts w:hint="eastAsia" w:ascii="宋体" w:hAnsi="宋体" w:eastAsia="宋体" w:cs="宋体"/>
          <w:sz w:val="24"/>
          <w:szCs w:val="24"/>
        </w:rPr>
        <w:t>全自动运行系统规范</w:t>
      </w:r>
      <w:r>
        <w:rPr>
          <w:rFonts w:hint="default" w:ascii="宋体" w:hAnsi="宋体" w:eastAsia="宋体" w:cs="宋体"/>
          <w:sz w:val="24"/>
          <w:szCs w:val="24"/>
          <w:lang w:val="en-US"/>
        </w:rPr>
        <w:t xml:space="preserve"> </w:t>
      </w:r>
      <w:r>
        <w:rPr>
          <w:rFonts w:hint="eastAsia" w:ascii="宋体" w:hAnsi="宋体" w:eastAsia="宋体" w:cs="宋体"/>
          <w:sz w:val="24"/>
          <w:szCs w:val="24"/>
        </w:rPr>
        <w:t xml:space="preserve"> 第7部分：运营管理》（T/CAMET 04017.7</w:t>
      </w:r>
      <w:r>
        <w:rPr>
          <w:rFonts w:hint="eastAsia" w:ascii="宋体" w:hAnsi="宋体" w:eastAsia="宋体" w:cs="宋体"/>
          <w:sz w:val="24"/>
          <w:szCs w:val="24"/>
          <w:lang w:eastAsia="zh-CN"/>
        </w:rPr>
        <w:t>—</w:t>
      </w:r>
      <w:r>
        <w:rPr>
          <w:rFonts w:hint="eastAsia" w:ascii="宋体" w:hAnsi="宋体" w:eastAsia="宋体" w:cs="宋体"/>
          <w:sz w:val="24"/>
          <w:szCs w:val="24"/>
        </w:rPr>
        <w:t>2019）</w:t>
      </w:r>
      <w:r>
        <w:rPr>
          <w:rFonts w:hint="eastAsia" w:ascii="宋体" w:hAnsi="宋体" w:eastAsia="宋体" w:cs="宋体"/>
          <w:sz w:val="24"/>
          <w:szCs w:val="24"/>
          <w:lang w:eastAsia="zh-CN"/>
        </w:rPr>
        <w:t>。</w:t>
      </w:r>
    </w:p>
    <w:p>
      <w:pPr>
        <w:outlineLvl w:val="0"/>
        <w:rPr>
          <w:rFonts w:ascii="Times New Roman" w:hAnsi="Times New Roman" w:eastAsia="宋体" w:cs="Times New Roman"/>
          <w:b/>
          <w:sz w:val="28"/>
          <w:szCs w:val="28"/>
        </w:rPr>
      </w:pPr>
      <w:bookmarkStart w:id="5" w:name="_Toc74140571"/>
      <w:r>
        <w:rPr>
          <w:rFonts w:hint="eastAsia" w:ascii="Times New Roman" w:hAnsi="Times New Roman" w:eastAsia="宋体" w:cs="Times New Roman"/>
          <w:b/>
          <w:sz w:val="28"/>
          <w:szCs w:val="28"/>
        </w:rPr>
        <w:t>六</w:t>
      </w:r>
      <w:r>
        <w:rPr>
          <w:rFonts w:ascii="Times New Roman" w:hAnsi="Times New Roman" w:eastAsia="宋体" w:cs="Times New Roman"/>
          <w:b/>
          <w:sz w:val="28"/>
          <w:szCs w:val="28"/>
        </w:rPr>
        <w:t>、编制内容及说明</w:t>
      </w:r>
      <w:bookmarkEnd w:id="5"/>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编制组</w:t>
      </w:r>
      <w:r>
        <w:rPr>
          <w:rFonts w:hint="eastAsia" w:ascii="Times New Roman" w:hAnsi="Times New Roman" w:eastAsia="宋体" w:cs="Times New Roman"/>
          <w:sz w:val="24"/>
          <w:szCs w:val="24"/>
        </w:rPr>
        <w:t>以导轨式胶轮系统特点为基础，对标国内相关标准，经多轮编写和讨论，形成《导轨式胶轮系统</w:t>
      </w:r>
      <w:r>
        <w:rPr>
          <w:rFonts w:hint="eastAsia" w:ascii="Times New Roman" w:hAnsi="Times New Roman" w:eastAsia="宋体" w:cs="Times New Roman"/>
          <w:sz w:val="24"/>
          <w:szCs w:val="24"/>
          <w:lang w:val="en-US" w:eastAsia="zh-CN"/>
        </w:rPr>
        <w:t>客运组织与服务管理规范</w:t>
      </w:r>
      <w:r>
        <w:rPr>
          <w:rFonts w:hint="eastAsia" w:ascii="Times New Roman" w:hAnsi="Times New Roman" w:eastAsia="宋体" w:cs="Times New Roman"/>
          <w:sz w:val="24"/>
          <w:szCs w:val="24"/>
        </w:rPr>
        <w:t>》团体标准征求意见稿。</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本标准共分</w:t>
      </w:r>
      <w:r>
        <w:rPr>
          <w:rFonts w:hint="eastAsia" w:ascii="宋体" w:hAnsi="宋体" w:eastAsia="宋体" w:cs="宋体"/>
          <w:sz w:val="24"/>
          <w:szCs w:val="24"/>
          <w:lang w:val="en-US" w:eastAsia="zh-CN"/>
        </w:rPr>
        <w:t>10</w:t>
      </w:r>
      <w:r>
        <w:rPr>
          <w:rFonts w:hint="eastAsia" w:ascii="宋体" w:hAnsi="宋体" w:eastAsia="宋体" w:cs="宋体"/>
          <w:sz w:val="24"/>
          <w:szCs w:val="24"/>
        </w:rPr>
        <w:t>章，主要内容包括范围、规范性引用文件、术语和定义、</w:t>
      </w:r>
      <w:r>
        <w:rPr>
          <w:rFonts w:hint="eastAsia" w:ascii="宋体" w:hAnsi="宋体" w:eastAsia="宋体" w:cs="宋体"/>
          <w:sz w:val="24"/>
          <w:szCs w:val="24"/>
          <w:lang w:val="en-US" w:eastAsia="zh-CN"/>
        </w:rPr>
        <w:t>总则、基础管理、设施管理和维护、客运服务、客运组织、客伤管理、监督与提升、客运服务指标</w:t>
      </w:r>
      <w:r>
        <w:rPr>
          <w:rFonts w:hint="eastAsia" w:ascii="宋体" w:hAnsi="宋体" w:eastAsia="宋体" w:cs="宋体"/>
          <w:sz w:val="24"/>
          <w:szCs w:val="24"/>
        </w:rPr>
        <w:t>。</w:t>
      </w:r>
    </w:p>
    <w:p>
      <w:pPr>
        <w:spacing w:line="360" w:lineRule="auto"/>
        <w:ind w:firstLine="480" w:firstLineChars="200"/>
        <w:rPr>
          <w:rFonts w:hint="eastAsia" w:ascii="宋体" w:hAnsi="宋体" w:eastAsia="宋体" w:cs="宋体"/>
          <w:sz w:val="24"/>
          <w:szCs w:val="24"/>
        </w:rPr>
      </w:pPr>
      <w:bookmarkStart w:id="6" w:name="_Toc74140572"/>
      <w:r>
        <w:rPr>
          <w:rFonts w:hint="eastAsia" w:ascii="宋体" w:hAnsi="宋体" w:eastAsia="宋体" w:cs="宋体"/>
          <w:sz w:val="24"/>
          <w:szCs w:val="24"/>
        </w:rPr>
        <w:t>本标准的内容</w:t>
      </w:r>
      <w:r>
        <w:rPr>
          <w:rFonts w:hint="eastAsia" w:ascii="宋体" w:hAnsi="宋体" w:eastAsia="宋体" w:cs="宋体"/>
          <w:sz w:val="24"/>
          <w:szCs w:val="24"/>
          <w:lang w:val="en-US" w:eastAsia="zh-CN"/>
        </w:rPr>
        <w:t>主要</w:t>
      </w:r>
      <w:r>
        <w:rPr>
          <w:rFonts w:hint="eastAsia" w:ascii="宋体" w:hAnsi="宋体" w:eastAsia="宋体" w:cs="宋体"/>
          <w:sz w:val="24"/>
          <w:szCs w:val="24"/>
        </w:rPr>
        <w:t>根据《城市轨道交通客运组织与服务管理办法》（交运规</w:t>
      </w:r>
      <w:r>
        <w:rPr>
          <w:rFonts w:hint="eastAsia" w:ascii="宋体" w:hAnsi="宋体" w:eastAsia="宋体" w:cs="宋体"/>
          <w:sz w:val="24"/>
          <w:szCs w:val="24"/>
        </w:rPr>
        <w:t>〔</w:t>
      </w:r>
      <w:r>
        <w:rPr>
          <w:rFonts w:hint="eastAsia" w:ascii="宋体" w:hAnsi="宋体" w:eastAsia="宋体" w:cs="宋体"/>
          <w:sz w:val="24"/>
          <w:szCs w:val="24"/>
        </w:rPr>
        <w:t>2019</w:t>
      </w:r>
      <w:r>
        <w:rPr>
          <w:rFonts w:hint="eastAsia" w:ascii="宋体" w:hAnsi="宋体" w:eastAsia="宋体" w:cs="宋体"/>
          <w:sz w:val="24"/>
          <w:szCs w:val="24"/>
        </w:rPr>
        <w:t>〕</w:t>
      </w:r>
      <w:r>
        <w:rPr>
          <w:rFonts w:hint="eastAsia" w:ascii="宋体" w:hAnsi="宋体" w:eastAsia="宋体" w:cs="宋体"/>
          <w:sz w:val="24"/>
          <w:szCs w:val="24"/>
        </w:rPr>
        <w:t>15号）</w:t>
      </w:r>
      <w:r>
        <w:rPr>
          <w:rFonts w:hint="eastAsia" w:ascii="宋体" w:hAnsi="宋体" w:eastAsia="宋体" w:cs="宋体"/>
          <w:sz w:val="24"/>
          <w:szCs w:val="24"/>
          <w:lang w:val="en-US" w:eastAsia="zh-CN"/>
        </w:rPr>
        <w:t>制定</w:t>
      </w:r>
      <w:r>
        <w:rPr>
          <w:rFonts w:hint="eastAsia" w:ascii="宋体" w:hAnsi="宋体" w:eastAsia="宋体" w:cs="宋体"/>
          <w:sz w:val="24"/>
          <w:szCs w:val="24"/>
        </w:rPr>
        <w:t>，主要包含以下</w:t>
      </w:r>
      <w:r>
        <w:rPr>
          <w:rFonts w:hint="eastAsia" w:ascii="宋体" w:hAnsi="宋体" w:eastAsia="宋体" w:cs="宋体"/>
          <w:sz w:val="24"/>
          <w:szCs w:val="24"/>
          <w:lang w:val="en-US" w:eastAsia="zh-CN"/>
        </w:rPr>
        <w:t>内容</w:t>
      </w:r>
      <w:r>
        <w:rPr>
          <w:rFonts w:hint="eastAsia" w:ascii="宋体" w:hAnsi="宋体" w:eastAsia="宋体" w:cs="宋体"/>
          <w:sz w:val="24"/>
          <w:szCs w:val="24"/>
        </w:rPr>
        <w:t>：</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规定了客运组织与服务工作的总体原则，明确了当地运营主管单位与运营单位的职责；</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提出了运营单位在车站管理制度、服务质量管理体系、人员培训管理、客运组织管理、导向标识管理的基础要求；</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提出了运营单位对车站服务设备设施的基础管理和维护要求，明确了车站自动充值售票设备、检（验）票设施、信息显示装置、自动扶梯（电梯）等设施的安全运行状态要求；</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对于车站服务，明确了车站容貌管理、购票流程提示、乘客进站管理、乘客乘车行为规范要求、车站广播用语、首末班车运营时间、乘客信息显示系统、客运疏导等相关要求；</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对于列车服务，规定了列车容貌管理、列车广播管理、换</w:t>
      </w:r>
      <w:r>
        <w:rPr>
          <w:rFonts w:hint="eastAsia" w:ascii="宋体" w:hAnsi="宋体" w:eastAsia="宋体" w:cs="宋体"/>
          <w:sz w:val="24"/>
          <w:szCs w:val="24"/>
          <w:lang w:val="en-US" w:eastAsia="zh-CN"/>
        </w:rPr>
        <w:t>乘</w:t>
      </w:r>
      <w:r>
        <w:rPr>
          <w:rFonts w:hint="eastAsia" w:ascii="宋体" w:hAnsi="宋体" w:eastAsia="宋体" w:cs="宋体"/>
          <w:sz w:val="24"/>
          <w:szCs w:val="24"/>
          <w:lang w:val="en-US" w:eastAsia="zh-CN"/>
        </w:rPr>
        <w:t>指引信息、车厢乘客监控等相关要求；</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客运组织，明确了车站在正常场景、大客流场景及其他突发事件场景下的要求，提出了运营单位在车站客流预警、运营安全巡视、站台行车安全保障、车站施工作业、运营结束清客场景下的要求，保障乘客乘车安全；</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对于客伤处理，明确了运营客伤事件的责任划分，规定了运营单位在处理客伤事件时的总体原则，同时提出了运营单位对与客伤事件的调查处理要求；</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对于监督与提升，规定了运营单位在处理运营服务投诉热线时的管理要求，明确了运营单位在受理投诉服务时的规范用语及信息等级要求；</w:t>
      </w:r>
    </w:p>
    <w:p>
      <w:pPr>
        <w:numPr>
          <w:ilvl w:val="0"/>
          <w:numId w:val="1"/>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对与客运服务指标，明确了相关客流指标、运行指标及服务指标的计算方法。</w:t>
      </w:r>
    </w:p>
    <w:p>
      <w:pPr>
        <w:outlineLvl w:val="0"/>
        <w:rPr>
          <w:rFonts w:ascii="Times New Roman" w:hAnsi="Times New Roman" w:eastAsia="宋体" w:cs="Times New Roman"/>
          <w:b/>
          <w:sz w:val="28"/>
          <w:szCs w:val="28"/>
        </w:rPr>
      </w:pPr>
      <w:r>
        <w:rPr>
          <w:rFonts w:hint="eastAsia" w:ascii="Times New Roman" w:hAnsi="Times New Roman" w:eastAsia="宋体" w:cs="Times New Roman"/>
          <w:b/>
          <w:sz w:val="28"/>
          <w:szCs w:val="28"/>
        </w:rPr>
        <w:t>七</w:t>
      </w:r>
      <w:r>
        <w:rPr>
          <w:rFonts w:ascii="Times New Roman" w:hAnsi="Times New Roman" w:eastAsia="宋体" w:cs="Times New Roman"/>
          <w:b/>
          <w:sz w:val="28"/>
          <w:szCs w:val="28"/>
        </w:rPr>
        <w:t>、主要条文说明</w:t>
      </w:r>
      <w:bookmarkEnd w:id="6"/>
    </w:p>
    <w:p>
      <w:pPr>
        <w:numPr>
          <w:ilvl w:val="-1"/>
          <w:numId w:val="0"/>
        </w:numPr>
        <w:spacing w:line="360" w:lineRule="auto"/>
        <w:ind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1 </w:t>
      </w:r>
      <w:r>
        <w:rPr>
          <w:rFonts w:hint="eastAsia" w:ascii="宋体" w:hAnsi="宋体" w:eastAsia="宋体" w:cs="宋体"/>
          <w:sz w:val="24"/>
          <w:szCs w:val="24"/>
          <w:lang w:val="en-US" w:eastAsia="zh-CN"/>
        </w:rPr>
        <w:t>范围</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按照《城市轨道交通分类》（T/CAMET 00001—2020）的规定，导轨式胶轮系统单向高峰小时运输能力小于10000人次，属于低运能系统；导轨式胶轮系统与其他交通方式以物理方式完全隔离，具有独立路权，与其他交通方式不存在混行，属于全封闭系统；此外，导轨式胶轮系统敷设方式以高架为主，使用胶轮车辆。作为一种全新定义的城市轨道交通制式，导轨式胶轮系统与其他制式存在显著的区别。</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根据导轨式胶轮系统的特点，结合类似系统的运营经验，</w:t>
      </w:r>
      <w:r>
        <w:rPr>
          <w:rFonts w:hint="eastAsia" w:ascii="宋体" w:hAnsi="宋体" w:eastAsia="宋体" w:cs="宋体"/>
          <w:sz w:val="24"/>
          <w:szCs w:val="24"/>
          <w:lang w:val="en-US" w:eastAsia="zh-CN"/>
        </w:rPr>
        <w:t>制定本标准。本标准</w:t>
      </w:r>
      <w:r>
        <w:rPr>
          <w:rFonts w:hint="eastAsia" w:ascii="宋体" w:hAnsi="宋体" w:eastAsia="宋体" w:cs="宋体"/>
          <w:sz w:val="24"/>
          <w:szCs w:val="24"/>
          <w:lang w:val="en-US" w:eastAsia="zh-CN"/>
        </w:rPr>
        <w:t>适用于导轨式胶轮系统</w:t>
      </w:r>
      <w:r>
        <w:rPr>
          <w:rFonts w:hint="eastAsia" w:ascii="宋体" w:hAnsi="宋体" w:eastAsia="宋体" w:cs="宋体"/>
          <w:sz w:val="24"/>
          <w:szCs w:val="24"/>
          <w:lang w:val="en-US" w:eastAsia="zh-CN"/>
        </w:rPr>
        <w:t>的</w:t>
      </w:r>
      <w:r>
        <w:rPr>
          <w:rFonts w:hint="eastAsia" w:ascii="宋体" w:hAnsi="宋体" w:eastAsia="宋体" w:cs="宋体"/>
          <w:sz w:val="24"/>
          <w:szCs w:val="24"/>
          <w:lang w:val="en-US" w:eastAsia="zh-CN"/>
        </w:rPr>
        <w:t>客运组织与服务管理。</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3 </w:t>
      </w:r>
      <w:r>
        <w:rPr>
          <w:rFonts w:hint="default" w:ascii="宋体" w:hAnsi="宋体" w:eastAsia="宋体" w:cs="宋体"/>
          <w:sz w:val="24"/>
          <w:szCs w:val="24"/>
          <w:lang w:val="en-US" w:eastAsia="zh-CN"/>
        </w:rPr>
        <w:t>术语和定义</w:t>
      </w:r>
    </w:p>
    <w:p>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标准</w:t>
      </w:r>
      <w:r>
        <w:rPr>
          <w:rFonts w:hint="eastAsia" w:ascii="宋体" w:hAnsi="宋体" w:eastAsia="宋体" w:cs="宋体"/>
          <w:sz w:val="24"/>
          <w:szCs w:val="24"/>
          <w:highlight w:val="none"/>
          <w:lang w:val="en-US" w:eastAsia="zh-CN"/>
        </w:rPr>
        <w:t>根据《国务院办公厅关于保障城市轨道交通安全运行的意见》（国办发〔2018〕13号）、《城市轨道交通运营管理规定》（交通运输部令2018年第8号）</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《城市轨道交通客运组织与服务管理办法》（交运规</w:t>
      </w:r>
      <w:r>
        <w:rPr>
          <w:rFonts w:hint="eastAsia" w:ascii="宋体" w:hAnsi="宋体" w:eastAsia="宋体" w:cs="宋体"/>
          <w:sz w:val="24"/>
          <w:szCs w:val="24"/>
        </w:rPr>
        <w:t>〔2019〕</w:t>
      </w:r>
      <w:r>
        <w:rPr>
          <w:rFonts w:hint="eastAsia" w:ascii="宋体" w:hAnsi="宋体" w:eastAsia="宋体" w:cs="宋体"/>
          <w:sz w:val="24"/>
          <w:szCs w:val="24"/>
          <w:highlight w:val="none"/>
          <w:lang w:val="en-US" w:eastAsia="zh-CN"/>
        </w:rPr>
        <w:t>15号）以及导轨式胶轮系统各专业技术规格书等规范性文件、标准有关术语定义，定义了客伤事件、有责客伤事件、无责客伤事件3个关键术语。</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4 </w:t>
      </w:r>
      <w:r>
        <w:rPr>
          <w:rFonts w:hint="default" w:ascii="宋体" w:hAnsi="宋体" w:eastAsia="宋体" w:cs="宋体"/>
          <w:sz w:val="24"/>
          <w:szCs w:val="24"/>
          <w:lang w:val="en-US" w:eastAsia="zh-CN"/>
        </w:rPr>
        <w:t>总则</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参照了《城市轨道交通客运组织与服务管理办法》（交运规</w:t>
      </w:r>
      <w:r>
        <w:rPr>
          <w:rFonts w:hint="eastAsia" w:ascii="宋体" w:hAnsi="宋体" w:eastAsia="宋体" w:cs="宋体"/>
          <w:sz w:val="24"/>
          <w:szCs w:val="24"/>
        </w:rPr>
        <w:t>〔2019〕</w:t>
      </w:r>
      <w:r>
        <w:rPr>
          <w:rFonts w:hint="eastAsia" w:ascii="宋体" w:hAnsi="宋体" w:eastAsia="宋体" w:cs="宋体"/>
          <w:sz w:val="24"/>
          <w:szCs w:val="24"/>
          <w:lang w:val="en-US" w:eastAsia="zh-CN"/>
        </w:rPr>
        <w:t>15号）、《城市轨道交通客运服务》</w:t>
      </w:r>
      <w:r>
        <w:rPr>
          <w:rFonts w:hint="eastAsia" w:ascii="宋体" w:hAnsi="宋体" w:eastAsia="宋体" w:cs="宋体"/>
          <w:sz w:val="24"/>
          <w:szCs w:val="24"/>
          <w:lang w:val="en-US" w:eastAsia="zh-CN"/>
        </w:rPr>
        <w:t>（GB/T</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22486—2008）</w:t>
      </w:r>
      <w:r>
        <w:rPr>
          <w:rFonts w:hint="eastAsia" w:ascii="宋体" w:hAnsi="宋体" w:eastAsia="宋体" w:cs="宋体"/>
          <w:sz w:val="24"/>
          <w:szCs w:val="24"/>
          <w:lang w:val="en-US" w:eastAsia="zh-CN"/>
        </w:rPr>
        <w:t>总体原则相关内容编制，描述了客运组织与服务宗旨、运营单位及当地主管部门的职责等内容。</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 </w:t>
      </w:r>
      <w:r>
        <w:rPr>
          <w:rFonts w:hint="default" w:ascii="宋体" w:hAnsi="宋体" w:eastAsia="宋体" w:cs="宋体"/>
          <w:sz w:val="24"/>
          <w:szCs w:val="24"/>
          <w:lang w:val="en-US" w:eastAsia="zh-CN"/>
        </w:rPr>
        <w:t>基础管理</w:t>
      </w:r>
    </w:p>
    <w:p>
      <w:pPr>
        <w:numPr>
          <w:ilvl w:val="-1"/>
          <w:numId w:val="0"/>
        </w:numPr>
        <w:spacing w:line="360" w:lineRule="auto"/>
        <w:ind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5.1 </w:t>
      </w:r>
      <w:r>
        <w:rPr>
          <w:rFonts w:hint="eastAsia" w:ascii="宋体" w:hAnsi="宋体" w:eastAsia="宋体" w:cs="宋体"/>
          <w:sz w:val="24"/>
          <w:szCs w:val="24"/>
          <w:lang w:val="en-US" w:eastAsia="zh-CN"/>
        </w:rPr>
        <w:t>车站管理</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参照了《城市轨道交通客运组织与服务管理办法》（交运规</w:t>
      </w:r>
      <w:r>
        <w:rPr>
          <w:rFonts w:hint="eastAsia" w:ascii="宋体" w:hAnsi="宋体" w:eastAsia="宋体" w:cs="宋体"/>
          <w:sz w:val="24"/>
          <w:szCs w:val="24"/>
        </w:rPr>
        <w:t>〔2019〕</w:t>
      </w:r>
      <w:r>
        <w:rPr>
          <w:rFonts w:hint="eastAsia" w:ascii="宋体" w:hAnsi="宋体" w:eastAsia="宋体" w:cs="宋体"/>
          <w:sz w:val="24"/>
          <w:szCs w:val="24"/>
          <w:lang w:val="en-US" w:eastAsia="zh-CN"/>
        </w:rPr>
        <w:t>15号）第二章中基础管理的相关内容，提出了运营单位在车站管理体系、客运管理制度、属地管理、人员培训管理、客流管理及导向标志管理等相关内容的要求，明确了运营单位在车站管理中应提供的运营服务及保障乘客便捷、安全、舒适出行的目标。</w:t>
      </w:r>
    </w:p>
    <w:p>
      <w:pPr>
        <w:numPr>
          <w:ilvl w:val="-1"/>
          <w:numId w:val="0"/>
        </w:numPr>
        <w:spacing w:line="360" w:lineRule="auto"/>
        <w:ind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5.2 </w:t>
      </w:r>
      <w:r>
        <w:rPr>
          <w:rFonts w:hint="default" w:ascii="宋体" w:hAnsi="宋体" w:eastAsia="宋体" w:cs="宋体"/>
          <w:sz w:val="24"/>
          <w:szCs w:val="24"/>
          <w:lang w:val="en-US" w:eastAsia="zh-CN"/>
        </w:rPr>
        <w:t>设施管理和维护</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参照了《城市轨道交通设施设备运行维护管理办法》</w:t>
      </w:r>
      <w:r>
        <w:rPr>
          <w:rFonts w:hint="eastAsia" w:ascii="宋体" w:hAnsi="宋体" w:eastAsia="宋体" w:cs="宋体"/>
          <w:sz w:val="24"/>
          <w:szCs w:val="24"/>
          <w:lang w:val="en-US" w:eastAsia="zh-CN"/>
        </w:rPr>
        <w:t>（交运规〔2019〕8号）</w:t>
      </w:r>
      <w:r>
        <w:rPr>
          <w:rFonts w:hint="eastAsia" w:ascii="宋体" w:hAnsi="宋体" w:eastAsia="宋体" w:cs="宋体"/>
          <w:sz w:val="24"/>
          <w:szCs w:val="24"/>
          <w:lang w:val="en-US" w:eastAsia="zh-CN"/>
        </w:rPr>
        <w:t>的相关内容，提出了运营单位应对各运营设备设施及服务标志定期进行维护检查并及时更新，同时</w:t>
      </w:r>
      <w:r>
        <w:rPr>
          <w:rFonts w:hint="eastAsia" w:ascii="宋体" w:hAnsi="宋体" w:eastAsia="宋体" w:cs="宋体"/>
          <w:sz w:val="24"/>
          <w:szCs w:val="24"/>
          <w:lang w:val="en-US" w:eastAsia="zh-CN"/>
        </w:rPr>
        <w:t>明确规定</w:t>
      </w:r>
      <w:r>
        <w:rPr>
          <w:rFonts w:hint="eastAsia" w:ascii="宋体" w:hAnsi="宋体" w:eastAsia="宋体" w:cs="宋体"/>
          <w:sz w:val="24"/>
          <w:szCs w:val="24"/>
          <w:lang w:val="en-US" w:eastAsia="zh-CN"/>
        </w:rPr>
        <w:t>了运营单位应加强对灭火、报警、逃生、防汛、防爆、防护监视、疏散照明、救援等安全保障器材设备的管理。</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6 </w:t>
      </w:r>
      <w:r>
        <w:rPr>
          <w:rFonts w:hint="default" w:ascii="宋体" w:hAnsi="宋体" w:eastAsia="宋体" w:cs="宋体"/>
          <w:sz w:val="24"/>
          <w:szCs w:val="24"/>
          <w:lang w:val="en-US" w:eastAsia="zh-CN"/>
        </w:rPr>
        <w:t>客运服务</w:t>
      </w:r>
    </w:p>
    <w:p>
      <w:pPr>
        <w:numPr>
          <w:ilvl w:val="-1"/>
          <w:numId w:val="0"/>
        </w:numPr>
        <w:spacing w:line="360" w:lineRule="auto"/>
        <w:ind w:left="0" w:leftChars="0"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6.1 </w:t>
      </w:r>
      <w:r>
        <w:rPr>
          <w:rFonts w:hint="default" w:ascii="宋体" w:hAnsi="宋体" w:eastAsia="宋体" w:cs="宋体"/>
          <w:sz w:val="24"/>
          <w:szCs w:val="24"/>
          <w:lang w:val="en-US" w:eastAsia="zh-CN"/>
        </w:rPr>
        <w:t>车站服务</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 xml:space="preserve">15号）对车站服务的相关要求以及《城市轨道交通 </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全自动运行系统规范</w:t>
      </w:r>
      <w:r>
        <w:rPr>
          <w:rFonts w:hint="default" w:ascii="宋体" w:hAnsi="宋体" w:eastAsia="宋体" w:cs="宋体"/>
          <w:sz w:val="24"/>
          <w:szCs w:val="24"/>
          <w:lang w:val="en-US" w:eastAsia="zh-CN"/>
        </w:rPr>
        <w:t xml:space="preserve"> </w:t>
      </w:r>
      <w:r>
        <w:rPr>
          <w:rFonts w:hint="eastAsia" w:ascii="宋体" w:hAnsi="宋体" w:eastAsia="宋体" w:cs="宋体"/>
          <w:sz w:val="24"/>
          <w:szCs w:val="24"/>
          <w:lang w:val="en-US" w:eastAsia="zh-CN"/>
        </w:rPr>
        <w:t xml:space="preserve"> 第7部分：运营管理》（T/CAMET 04017.7</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2019）对全自动运行系统的运营管理的要求</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规定了在乘客购票、进站、候车、乘车过程中的车站服务要求，</w:t>
      </w:r>
      <w:r>
        <w:rPr>
          <w:rFonts w:hint="eastAsia" w:ascii="宋体" w:hAnsi="宋体" w:eastAsia="宋体" w:cs="宋体"/>
          <w:sz w:val="24"/>
          <w:szCs w:val="24"/>
          <w:lang w:val="en-US" w:eastAsia="zh-CN"/>
        </w:rPr>
        <w:t>补充</w:t>
      </w:r>
      <w:r>
        <w:rPr>
          <w:rFonts w:hint="eastAsia" w:ascii="宋体" w:hAnsi="宋体" w:eastAsia="宋体" w:cs="宋体"/>
          <w:sz w:val="24"/>
          <w:szCs w:val="24"/>
          <w:lang w:val="en-US" w:eastAsia="zh-CN"/>
        </w:rPr>
        <w:t>了全自动运行系统下设备提示用语、无人值守广播、乘客信息显示系统的相关要求，同时规定了</w:t>
      </w:r>
      <w:r>
        <w:rPr>
          <w:rFonts w:hint="eastAsia" w:ascii="宋体" w:hAnsi="宋体" w:eastAsia="宋体" w:cs="宋体"/>
          <w:sz w:val="24"/>
          <w:szCs w:val="24"/>
          <w:lang w:val="en-US" w:eastAsia="zh-CN"/>
        </w:rPr>
        <w:t>应合理设置</w:t>
      </w:r>
      <w:r>
        <w:rPr>
          <w:rFonts w:hint="eastAsia" w:ascii="宋体" w:hAnsi="宋体" w:eastAsia="宋体" w:cs="宋体"/>
          <w:sz w:val="24"/>
          <w:szCs w:val="24"/>
          <w:lang w:val="en-US" w:eastAsia="zh-CN"/>
        </w:rPr>
        <w:t>客运组织疏导方案</w:t>
      </w:r>
      <w:r>
        <w:rPr>
          <w:rFonts w:hint="eastAsia" w:ascii="宋体" w:hAnsi="宋体" w:eastAsia="宋体" w:cs="宋体"/>
          <w:lang w:eastAsia="zh-CN"/>
        </w:rPr>
        <w:t>、</w:t>
      </w:r>
      <w:r>
        <w:rPr>
          <w:rFonts w:hint="eastAsia" w:ascii="宋体" w:hAnsi="宋体" w:eastAsia="宋体" w:cs="宋体"/>
          <w:sz w:val="24"/>
          <w:szCs w:val="24"/>
          <w:lang w:val="en-US" w:eastAsia="zh-CN"/>
        </w:rPr>
        <w:t>科学使用客流组织用具，加强车站重点保障处</w:t>
      </w:r>
      <w:r>
        <w:rPr>
          <w:rFonts w:hint="eastAsia" w:ascii="宋体" w:hAnsi="宋体" w:eastAsia="宋体" w:cs="宋体"/>
          <w:sz w:val="24"/>
          <w:szCs w:val="24"/>
          <w:lang w:val="en-US" w:eastAsia="zh-CN"/>
        </w:rPr>
        <w:t>乘客</w:t>
      </w:r>
      <w:r>
        <w:rPr>
          <w:rFonts w:hint="eastAsia" w:ascii="宋体" w:hAnsi="宋体" w:eastAsia="宋体" w:cs="宋体"/>
          <w:sz w:val="24"/>
          <w:szCs w:val="24"/>
          <w:lang w:val="en-US" w:eastAsia="zh-CN"/>
        </w:rPr>
        <w:t>的乘车秩序</w:t>
      </w:r>
      <w:r>
        <w:rPr>
          <w:rFonts w:hint="eastAsia" w:ascii="宋体" w:hAnsi="宋体" w:eastAsia="宋体" w:cs="宋体"/>
          <w:sz w:val="24"/>
          <w:szCs w:val="24"/>
          <w:lang w:val="en-US" w:eastAsia="zh-CN"/>
        </w:rPr>
        <w:t>维护</w:t>
      </w:r>
      <w:r>
        <w:rPr>
          <w:rFonts w:hint="eastAsia" w:ascii="宋体" w:hAnsi="宋体" w:eastAsia="宋体" w:cs="宋体"/>
          <w:sz w:val="24"/>
          <w:szCs w:val="24"/>
          <w:lang w:val="en-US" w:eastAsia="zh-CN"/>
        </w:rPr>
        <w:t>与乘车安全</w:t>
      </w:r>
      <w:r>
        <w:rPr>
          <w:rFonts w:hint="eastAsia" w:ascii="宋体" w:hAnsi="宋体" w:eastAsia="宋体" w:cs="宋体"/>
          <w:sz w:val="24"/>
          <w:szCs w:val="24"/>
          <w:lang w:val="en-US" w:eastAsia="zh-CN"/>
        </w:rPr>
        <w:t>管理</w:t>
      </w:r>
      <w:r>
        <w:rPr>
          <w:rFonts w:hint="eastAsia" w:ascii="宋体" w:hAnsi="宋体" w:eastAsia="宋体" w:cs="宋体"/>
          <w:sz w:val="24"/>
          <w:szCs w:val="24"/>
          <w:lang w:val="en-US" w:eastAsia="zh-CN"/>
        </w:rPr>
        <w:t>。</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6.2 </w:t>
      </w:r>
      <w:r>
        <w:rPr>
          <w:rFonts w:hint="default" w:ascii="宋体" w:hAnsi="宋体" w:eastAsia="宋体" w:cs="宋体"/>
          <w:sz w:val="24"/>
          <w:szCs w:val="24"/>
          <w:lang w:val="en-US" w:eastAsia="zh-CN"/>
        </w:rPr>
        <w:t>列车服务</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参照了《城市轨道交通客运服务》（GB/T 22486</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2008）6.7</w:t>
      </w:r>
      <w:r>
        <w:rPr>
          <w:rFonts w:hint="eastAsia" w:ascii="宋体" w:hAnsi="宋体" w:eastAsia="宋体" w:cs="宋体"/>
          <w:sz w:val="24"/>
          <w:szCs w:val="24"/>
          <w:lang w:val="en-US" w:eastAsia="zh-CN"/>
        </w:rPr>
        <w:t>条</w:t>
      </w:r>
      <w:r>
        <w:rPr>
          <w:rFonts w:hint="eastAsia" w:ascii="宋体" w:hAnsi="宋体" w:eastAsia="宋体" w:cs="宋体"/>
          <w:sz w:val="24"/>
          <w:szCs w:val="24"/>
          <w:lang w:val="en-US" w:eastAsia="zh-CN"/>
        </w:rPr>
        <w:t>对列车服务的相关要求，</w:t>
      </w:r>
      <w:r>
        <w:rPr>
          <w:rFonts w:hint="eastAsia" w:ascii="宋体" w:hAnsi="宋体" w:eastAsia="宋体" w:cs="宋体"/>
          <w:sz w:val="24"/>
          <w:szCs w:val="24"/>
          <w:lang w:val="en-US" w:eastAsia="zh-CN"/>
        </w:rPr>
        <w:t>补充</w:t>
      </w:r>
      <w:r>
        <w:rPr>
          <w:rFonts w:hint="eastAsia" w:ascii="宋体" w:hAnsi="宋体" w:eastAsia="宋体" w:cs="宋体"/>
          <w:sz w:val="24"/>
          <w:szCs w:val="24"/>
          <w:lang w:val="en-US" w:eastAsia="zh-CN"/>
        </w:rPr>
        <w:t>了列车广播用语及车厢换乘指引的相关要求，</w:t>
      </w:r>
      <w:r>
        <w:rPr>
          <w:rFonts w:hint="eastAsia" w:ascii="宋体" w:hAnsi="宋体" w:eastAsia="宋体" w:cs="宋体"/>
          <w:sz w:val="24"/>
          <w:szCs w:val="24"/>
          <w:lang w:val="en-US" w:eastAsia="zh-CN"/>
        </w:rPr>
        <w:t>规定</w:t>
      </w:r>
      <w:r>
        <w:rPr>
          <w:rFonts w:hint="eastAsia" w:ascii="宋体" w:hAnsi="宋体" w:eastAsia="宋体" w:cs="宋体"/>
          <w:sz w:val="24"/>
          <w:szCs w:val="24"/>
          <w:lang w:val="en-US" w:eastAsia="zh-CN"/>
        </w:rPr>
        <w:t>应加强远程CCTV乘客动态监控，及时处理应急事件。</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6.3 </w:t>
      </w:r>
      <w:r>
        <w:rPr>
          <w:rFonts w:hint="default" w:ascii="宋体" w:hAnsi="宋体" w:eastAsia="宋体" w:cs="宋体"/>
          <w:sz w:val="24"/>
          <w:szCs w:val="24"/>
          <w:lang w:val="en-US" w:eastAsia="zh-CN"/>
        </w:rPr>
        <w:t>票务服务</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参照了《城市轨道交通客运服务》（GB/T 22486</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2008）以及《城市轨道交通客运组织与服务管理办法》（交运规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15号）对票务服务的要求，规定了乘</w:t>
      </w:r>
      <w:r>
        <w:rPr>
          <w:rFonts w:hint="eastAsia" w:ascii="宋体" w:hAnsi="宋体" w:eastAsia="宋体" w:cs="宋体"/>
          <w:sz w:val="24"/>
          <w:szCs w:val="24"/>
          <w:lang w:val="en-US" w:eastAsia="zh-CN"/>
        </w:rPr>
        <w:t>客</w:t>
      </w:r>
      <w:r>
        <w:rPr>
          <w:rFonts w:hint="eastAsia" w:ascii="宋体" w:hAnsi="宋体" w:eastAsia="宋体" w:cs="宋体"/>
          <w:sz w:val="24"/>
          <w:szCs w:val="24"/>
          <w:lang w:val="en-US" w:eastAsia="zh-CN"/>
        </w:rPr>
        <w:t>乘车方式、票务处理规则、票务优惠政策的相关要求，同时规定了非正常情况下的票务组织相关要求，</w:t>
      </w:r>
      <w:r>
        <w:rPr>
          <w:rFonts w:hint="eastAsia" w:ascii="宋体" w:hAnsi="宋体" w:eastAsia="宋体" w:cs="宋体"/>
          <w:sz w:val="24"/>
          <w:szCs w:val="24"/>
          <w:lang w:val="en-US" w:eastAsia="zh-CN"/>
        </w:rPr>
        <w:t>规定了</w:t>
      </w:r>
      <w:r>
        <w:rPr>
          <w:rFonts w:hint="eastAsia" w:ascii="宋体" w:hAnsi="宋体" w:eastAsia="宋体" w:cs="宋体"/>
          <w:sz w:val="24"/>
          <w:szCs w:val="24"/>
          <w:lang w:val="en-US" w:eastAsia="zh-CN"/>
        </w:rPr>
        <w:t>运营单位应在乘客因超程、超时或其他原因不能正常进出站场景下的票务服务</w:t>
      </w:r>
      <w:r>
        <w:rPr>
          <w:rFonts w:hint="eastAsia" w:ascii="宋体" w:hAnsi="宋体" w:eastAsia="宋体" w:cs="宋体"/>
          <w:sz w:val="24"/>
          <w:szCs w:val="24"/>
          <w:lang w:val="en-US" w:eastAsia="zh-CN"/>
        </w:rPr>
        <w:t>要求</w:t>
      </w:r>
      <w:r>
        <w:rPr>
          <w:rFonts w:hint="eastAsia" w:ascii="宋体" w:hAnsi="宋体" w:eastAsia="宋体" w:cs="宋体"/>
          <w:sz w:val="24"/>
          <w:szCs w:val="24"/>
          <w:lang w:val="en-US" w:eastAsia="zh-CN"/>
        </w:rPr>
        <w:t>。</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7 </w:t>
      </w:r>
      <w:r>
        <w:rPr>
          <w:rFonts w:hint="default" w:ascii="宋体" w:hAnsi="宋体" w:eastAsia="宋体" w:cs="宋体"/>
          <w:sz w:val="24"/>
          <w:szCs w:val="24"/>
          <w:lang w:val="en-US" w:eastAsia="zh-CN"/>
        </w:rPr>
        <w:t>客运组织</w:t>
      </w:r>
    </w:p>
    <w:p>
      <w:pPr>
        <w:numPr>
          <w:ilvl w:val="-1"/>
          <w:numId w:val="0"/>
        </w:numPr>
        <w:spacing w:line="360" w:lineRule="auto"/>
        <w:ind w:left="0" w:leftChars="0" w:firstLine="480" w:firstLineChars="20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7.1 </w:t>
      </w:r>
      <w:r>
        <w:rPr>
          <w:rFonts w:hint="default" w:ascii="宋体" w:hAnsi="宋体" w:eastAsia="宋体" w:cs="宋体"/>
          <w:sz w:val="24"/>
          <w:szCs w:val="24"/>
          <w:lang w:val="en-US" w:eastAsia="zh-CN"/>
        </w:rPr>
        <w:t>车站正常运营组织</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7.1.1 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15号）第十一条的要求，提出了车站应对车站整体客流流线、人员疏散进行必要的论证。</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7.1.2 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15号）第十二条的要求，提出了车站在每日运营前及即将结束运营</w:t>
      </w:r>
      <w:r>
        <w:rPr>
          <w:rFonts w:hint="eastAsia" w:ascii="宋体" w:hAnsi="宋体" w:eastAsia="宋体" w:cs="宋体"/>
          <w:sz w:val="24"/>
          <w:szCs w:val="24"/>
          <w:lang w:val="en-US" w:eastAsia="zh-CN"/>
        </w:rPr>
        <w:t>时</w:t>
      </w:r>
      <w:r>
        <w:rPr>
          <w:rFonts w:hint="eastAsia" w:ascii="宋体" w:hAnsi="宋体" w:eastAsia="宋体" w:cs="宋体"/>
          <w:sz w:val="24"/>
          <w:szCs w:val="24"/>
          <w:lang w:val="en-US" w:eastAsia="zh-CN"/>
        </w:rPr>
        <w:t>应提前确认相关设备设施状态。</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7.1.3 结合了导轨式胶轮系统车站无人值守场景下的车站运作流程，规定了在</w:t>
      </w:r>
      <w:r>
        <w:rPr>
          <w:rFonts w:hint="eastAsia" w:ascii="宋体" w:hAnsi="宋体" w:eastAsia="宋体" w:cs="宋体"/>
          <w:sz w:val="24"/>
          <w:szCs w:val="24"/>
          <w:lang w:val="en-US" w:eastAsia="zh-CN"/>
        </w:rPr>
        <w:t>车站</w:t>
      </w:r>
      <w:r>
        <w:rPr>
          <w:rFonts w:hint="eastAsia" w:ascii="宋体" w:hAnsi="宋体" w:eastAsia="宋体" w:cs="宋体"/>
          <w:sz w:val="24"/>
          <w:szCs w:val="24"/>
          <w:lang w:val="en-US" w:eastAsia="zh-CN"/>
        </w:rPr>
        <w:t>无人值守时应加强各设备设施的远程监控，保证设备正常运转。</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7.1.4 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15号）第十三条的要求，结合导轨式胶轮系统全自动运行线路下的组织架构及人员职责，规定了司乘人员及乘客调度员在正常客运组织场景下的现场/远程巡视要求。</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7.1.5 结合了导轨式胶轮系统车站无人值守场景下的车站运作流程，规定了司乘人员应同时维护列车及车站站台的乘客乘车安全，发生信号故障等突发情况时协助行车人员做好接发列车引导。</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7.1.6 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15号）第十六条的内容，提出了车站施工作业的相关要求。</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7.1.7 参照了《城市轨道交通运营管理规范》（GB/T 30012</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2013）的相关内容，结合导轨式胶轮系统全自动运行线路下的组织架构及人员职责，提出了列车在退出运营前，运营单位应确认乘客滞留情况。</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7.1.8 参照了《城市轨道交通运营管理规范》（GB/T 30012</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2013）的相关内容，提出了运营单位在运营结束后应根据设备智能化特点，确认车站各设备处于关站模式。</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7.2 </w:t>
      </w:r>
      <w:r>
        <w:rPr>
          <w:rFonts w:hint="default" w:ascii="宋体" w:hAnsi="宋体" w:eastAsia="宋体" w:cs="宋体"/>
          <w:sz w:val="24"/>
          <w:szCs w:val="24"/>
          <w:lang w:val="en-US" w:eastAsia="zh-CN"/>
        </w:rPr>
        <w:t>大客流运营组织</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五条的要求，提出了运营单位在发生大客流前，应科学编制列车运行计划，在线路设计能力范围内合理安排运力，不断满足客流需求。在发生大客流时，司乘人员应协调行车调度员及时增加运力进行疏导。同时</w:t>
      </w:r>
      <w:r>
        <w:rPr>
          <w:rFonts w:hint="eastAsia" w:ascii="宋体" w:hAnsi="宋体" w:eastAsia="宋体" w:cs="宋体"/>
          <w:sz w:val="24"/>
          <w:szCs w:val="24"/>
          <w:lang w:val="en-US" w:eastAsia="zh-CN"/>
        </w:rPr>
        <w:t>给出</w:t>
      </w:r>
      <w:r>
        <w:rPr>
          <w:rFonts w:hint="eastAsia" w:ascii="宋体" w:hAnsi="宋体" w:eastAsia="宋体" w:cs="宋体"/>
          <w:sz w:val="24"/>
          <w:szCs w:val="24"/>
          <w:lang w:val="en-US" w:eastAsia="zh-CN"/>
        </w:rPr>
        <w:t>了客流控制时可采取</w:t>
      </w:r>
      <w:r>
        <w:rPr>
          <w:rFonts w:hint="eastAsia" w:ascii="宋体" w:hAnsi="宋体" w:eastAsia="宋体" w:cs="宋体"/>
          <w:sz w:val="24"/>
          <w:szCs w:val="24"/>
          <w:lang w:val="en-US" w:eastAsia="zh-CN"/>
        </w:rPr>
        <w:t>的</w:t>
      </w:r>
      <w:r>
        <w:rPr>
          <w:rFonts w:hint="eastAsia" w:ascii="宋体" w:hAnsi="宋体" w:eastAsia="宋体" w:cs="宋体"/>
          <w:sz w:val="24"/>
          <w:szCs w:val="24"/>
          <w:lang w:val="en-US" w:eastAsia="zh-CN"/>
        </w:rPr>
        <w:t>应对措施。</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7.3 </w:t>
      </w:r>
      <w:r>
        <w:rPr>
          <w:rFonts w:hint="default" w:ascii="宋体" w:hAnsi="宋体" w:eastAsia="宋体" w:cs="宋体"/>
          <w:sz w:val="24"/>
          <w:szCs w:val="24"/>
          <w:lang w:val="en-US" w:eastAsia="zh-CN"/>
        </w:rPr>
        <w:t>其他突发事件客运组织</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7.3.1 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15号）第十八条的要求，提出了在出现雨雪等恶劣天气时，运营单位应采取的应对措施。</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7.3.2 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15号）第十九条的要求，提出了在火灾、淹水倒灌、公共安全、公共卫生等突发事件时，运营单位应采取的应对措施。</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8 </w:t>
      </w:r>
      <w:r>
        <w:rPr>
          <w:rFonts w:hint="default" w:ascii="宋体" w:hAnsi="宋体" w:eastAsia="宋体" w:cs="宋体"/>
          <w:sz w:val="24"/>
          <w:szCs w:val="24"/>
          <w:lang w:val="en-US" w:eastAsia="zh-CN"/>
        </w:rPr>
        <w:t>客伤处理</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参照了《中华人民共和国民法通则》及《城市轨道交通运营管理规范》（GB/T 30012</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2013）的相关要求，提出了发生客伤事件的责任划分、处理原则及事故调查等相关</w:t>
      </w:r>
      <w:r>
        <w:rPr>
          <w:rFonts w:hint="eastAsia" w:ascii="宋体" w:hAnsi="宋体" w:eastAsia="宋体" w:cs="宋体"/>
          <w:sz w:val="24"/>
          <w:szCs w:val="24"/>
          <w:lang w:val="en-US" w:eastAsia="zh-CN"/>
        </w:rPr>
        <w:t>要求</w:t>
      </w:r>
      <w:r>
        <w:rPr>
          <w:rFonts w:hint="eastAsia" w:ascii="宋体" w:hAnsi="宋体" w:eastAsia="宋体" w:cs="宋体"/>
          <w:sz w:val="24"/>
          <w:szCs w:val="24"/>
          <w:lang w:val="en-US" w:eastAsia="zh-CN"/>
        </w:rPr>
        <w:t>。</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9 </w:t>
      </w:r>
      <w:r>
        <w:rPr>
          <w:rFonts w:hint="default" w:ascii="宋体" w:hAnsi="宋体" w:eastAsia="宋体" w:cs="宋体"/>
          <w:sz w:val="24"/>
          <w:szCs w:val="24"/>
          <w:lang w:val="en-US" w:eastAsia="zh-CN"/>
        </w:rPr>
        <w:t>监督与提升</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参照了《城市轨道交通客运组织与服务管理办法》（交运规</w:t>
      </w:r>
      <w:r>
        <w:rPr>
          <w:rFonts w:hint="eastAsia" w:ascii="宋体" w:hAnsi="宋体" w:eastAsia="宋体" w:cs="宋体"/>
          <w:sz w:val="24"/>
          <w:szCs w:val="24"/>
          <w:lang w:val="en-US" w:eastAsia="zh-CN"/>
        </w:rPr>
        <w:t>〔2019〕</w:t>
      </w:r>
      <w:r>
        <w:rPr>
          <w:rFonts w:hint="eastAsia" w:ascii="宋体" w:hAnsi="宋体" w:eastAsia="宋体" w:cs="宋体"/>
          <w:sz w:val="24"/>
          <w:szCs w:val="24"/>
          <w:lang w:val="en-US" w:eastAsia="zh-CN"/>
        </w:rPr>
        <w:t>15号）第三十三条的要求，提出了运营单位在处理热线投诉时的管理规范，规定了受理人员</w:t>
      </w:r>
      <w:r>
        <w:rPr>
          <w:rFonts w:hint="eastAsia" w:ascii="宋体" w:hAnsi="宋体" w:eastAsia="宋体" w:cs="宋体"/>
          <w:sz w:val="24"/>
          <w:szCs w:val="24"/>
          <w:lang w:val="en-US" w:eastAsia="zh-CN"/>
        </w:rPr>
        <w:t>受理</w:t>
      </w:r>
      <w:r>
        <w:rPr>
          <w:rFonts w:hint="eastAsia" w:ascii="宋体" w:hAnsi="宋体" w:eastAsia="宋体" w:cs="宋体"/>
          <w:sz w:val="24"/>
          <w:szCs w:val="24"/>
          <w:lang w:val="en-US" w:eastAsia="zh-CN"/>
        </w:rPr>
        <w:t>热线服务的基本原则与工作制度。</w:t>
      </w:r>
    </w:p>
    <w:p>
      <w:pPr>
        <w:numPr>
          <w:ilvl w:val="-1"/>
          <w:numId w:val="0"/>
        </w:numPr>
        <w:spacing w:line="360" w:lineRule="auto"/>
        <w:ind w:left="0" w:leftChars="0" w:firstLine="480" w:firstLineChars="200"/>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 xml:space="preserve">10 </w:t>
      </w:r>
      <w:r>
        <w:rPr>
          <w:rFonts w:hint="default" w:ascii="宋体" w:hAnsi="宋体" w:eastAsia="宋体" w:cs="宋体"/>
          <w:sz w:val="24"/>
          <w:szCs w:val="24"/>
          <w:lang w:val="en-US" w:eastAsia="zh-CN"/>
        </w:rPr>
        <w:t>客运服务指标</w:t>
      </w:r>
    </w:p>
    <w:p>
      <w:pPr>
        <w:numPr>
          <w:ilvl w:val="0"/>
          <w:numId w:val="0"/>
        </w:numPr>
        <w:spacing w:line="360" w:lineRule="auto"/>
        <w:ind w:leftChars="0"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参照了《城市轨道交通运营指标体系》（GB/T 38374</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zh-CN"/>
        </w:rPr>
        <w:t>2019）的相关内容，提出了导轨式胶轮系统全自动运行线路的客流指标、运行指标及服务指标的计算方式。</w:t>
      </w:r>
    </w:p>
    <w:p>
      <w:pPr>
        <w:outlineLvl w:val="0"/>
        <w:rPr>
          <w:rFonts w:ascii="Times New Roman" w:hAnsi="Times New Roman" w:eastAsia="宋体" w:cs="Times New Roman"/>
          <w:b/>
          <w:sz w:val="28"/>
          <w:szCs w:val="28"/>
        </w:rPr>
      </w:pPr>
      <w:bookmarkStart w:id="7" w:name="_Toc74140573"/>
      <w:r>
        <w:rPr>
          <w:rFonts w:hint="eastAsia" w:ascii="Times New Roman" w:hAnsi="Times New Roman" w:eastAsia="宋体" w:cs="Times New Roman"/>
          <w:b/>
          <w:sz w:val="28"/>
          <w:szCs w:val="28"/>
        </w:rPr>
        <w:t>八</w:t>
      </w:r>
      <w:r>
        <w:rPr>
          <w:rFonts w:ascii="Times New Roman" w:hAnsi="Times New Roman" w:eastAsia="宋体" w:cs="Times New Roman"/>
          <w:b/>
          <w:sz w:val="28"/>
          <w:szCs w:val="28"/>
        </w:rPr>
        <w:t>、标准实施建议</w:t>
      </w:r>
      <w:bookmarkEnd w:id="7"/>
    </w:p>
    <w:p>
      <w:pPr>
        <w:spacing w:line="360" w:lineRule="auto"/>
        <w:ind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标准基于城市轨道交通行业现有运营管理规定与客运管理等相关要求，结合了导轨式胶轮系统的特点，给出了其线路客运组织与服务管理的要求，建议在实施时注重线路的全自动运行高智能化、高效益性等特点，开展相关客运组织工作。</w:t>
      </w:r>
    </w:p>
    <w:p>
      <w:pPr>
        <w:spacing w:line="360" w:lineRule="auto"/>
        <w:ind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另外，</w:t>
      </w:r>
      <w:r>
        <w:rPr>
          <w:rFonts w:hint="default" w:ascii="Times New Roman" w:hAnsi="Times New Roman" w:eastAsia="宋体" w:cs="Times New Roman"/>
          <w:sz w:val="24"/>
          <w:szCs w:val="24"/>
          <w:lang w:val="en-US" w:eastAsia="zh-CN"/>
        </w:rPr>
        <w:t>在实施过程中，应根据反馈的问题及技术进步的情况，进行进一步的修订完善、更新标准的内容。</w:t>
      </w:r>
    </w:p>
    <w:p>
      <w:pPr>
        <w:outlineLvl w:val="0"/>
        <w:rPr>
          <w:rFonts w:ascii="Times New Roman" w:hAnsi="Times New Roman" w:eastAsia="宋体" w:cs="Times New Roman"/>
          <w:b/>
          <w:sz w:val="28"/>
          <w:szCs w:val="28"/>
        </w:rPr>
      </w:pPr>
      <w:bookmarkStart w:id="8" w:name="_Toc74140574"/>
      <w:r>
        <w:rPr>
          <w:rFonts w:hint="eastAsia" w:ascii="Times New Roman" w:hAnsi="Times New Roman" w:eastAsia="宋体" w:cs="Times New Roman"/>
          <w:b/>
          <w:sz w:val="28"/>
          <w:szCs w:val="28"/>
        </w:rPr>
        <w:t>九</w:t>
      </w:r>
      <w:r>
        <w:rPr>
          <w:rFonts w:ascii="Times New Roman" w:hAnsi="Times New Roman" w:eastAsia="宋体" w:cs="Times New Roman"/>
          <w:b/>
          <w:sz w:val="28"/>
          <w:szCs w:val="28"/>
        </w:rPr>
        <w:t>、标准起草单位及人员</w:t>
      </w:r>
      <w:bookmarkEnd w:id="8"/>
    </w:p>
    <w:p>
      <w:pPr>
        <w:numPr>
          <w:ilvl w:val="0"/>
          <w:numId w:val="2"/>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主编</w:t>
      </w:r>
      <w:r>
        <w:rPr>
          <w:rFonts w:hint="eastAsia" w:ascii="宋体" w:hAnsi="宋体" w:eastAsia="宋体" w:cs="宋体"/>
          <w:b/>
          <w:sz w:val="24"/>
          <w:szCs w:val="24"/>
        </w:rPr>
        <w:t>单位</w:t>
      </w:r>
    </w:p>
    <w:p>
      <w:pPr>
        <w:spacing w:line="360" w:lineRule="auto"/>
        <w:ind w:firstLine="480" w:firstLineChars="200"/>
        <w:rPr>
          <w:rFonts w:hint="eastAsia" w:ascii="宋体" w:hAnsi="宋体" w:eastAsia="宋体" w:cs="宋体"/>
          <w:b w:val="0"/>
          <w:sz w:val="24"/>
          <w:szCs w:val="24"/>
        </w:rPr>
      </w:pPr>
      <w:r>
        <w:rPr>
          <w:rFonts w:hint="eastAsia" w:ascii="宋体" w:hAnsi="宋体" w:eastAsia="宋体" w:cs="宋体"/>
          <w:b w:val="0"/>
          <w:sz w:val="24"/>
          <w:szCs w:val="24"/>
        </w:rPr>
        <w:t>比亚迪汽车工业有限公司</w:t>
      </w:r>
    </w:p>
    <w:p>
      <w:pPr>
        <w:numPr>
          <w:ilvl w:val="0"/>
          <w:numId w:val="2"/>
        </w:num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参编单位</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深圳比亚迪轨道交通运营有限公司、比亚迪建设工程有限公司、比亚迪勘察设计有限公司、比亚迪机电设备有限公司、比亚迪通信信号有限公司、重庆云巴轨道交通运营管理有限公司</w:t>
      </w:r>
    </w:p>
    <w:p>
      <w:pPr>
        <w:numPr>
          <w:ilvl w:val="0"/>
          <w:numId w:val="2"/>
        </w:numPr>
        <w:spacing w:line="360" w:lineRule="auto"/>
        <w:ind w:firstLine="482" w:firstLineChars="200"/>
        <w:rPr>
          <w:rFonts w:hint="eastAsia" w:ascii="宋体" w:hAnsi="宋体" w:eastAsia="宋体" w:cs="宋体"/>
          <w:b/>
          <w:sz w:val="24"/>
          <w:szCs w:val="24"/>
          <w:lang w:val="en-US"/>
        </w:rPr>
      </w:pPr>
      <w:r>
        <w:rPr>
          <w:rFonts w:hint="eastAsia" w:ascii="宋体" w:hAnsi="宋体" w:eastAsia="宋体" w:cs="宋体"/>
          <w:b/>
          <w:sz w:val="24"/>
          <w:szCs w:val="24"/>
          <w:lang w:val="en-US" w:eastAsia="zh-CN"/>
        </w:rPr>
        <w:t>主编人员</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黄伟潮、刘世雄、李科</w:t>
      </w:r>
    </w:p>
    <w:p>
      <w:pPr>
        <w:numPr>
          <w:ilvl w:val="0"/>
          <w:numId w:val="2"/>
        </w:num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参编人员</w:t>
      </w:r>
    </w:p>
    <w:p>
      <w:pPr>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林鸿全、韩君怡、马忠义、康华玲、郭淑萍、林伟森、张乃文、黄裕锋、刘国政、林跃明、刘瑞联、王小春、滕秀霜、何飞、刘杨、张婷婷、刘变俊、朱炜喆、李慧、晏艳珍、宿李、李斯新、梁伦富、杨东周、温强、李卿洋、邓卫、王泽军、史秀荣、蒋坤、周子贤、吴成贵、邱吉、王渊、黄宇腾、王敏、饶江波、刘振华、刘伟华、彭清、张建安、陆诗磊、李熙、徐海霞、李志辉、蔡忠海、梁利仲、詹勇、周伟文、李长松</w:t>
      </w:r>
    </w:p>
    <w:p>
      <w:pPr>
        <w:spacing w:line="360" w:lineRule="auto"/>
        <w:ind w:firstLine="480" w:firstLineChars="200"/>
        <w:rPr>
          <w:rFonts w:hint="eastAsia" w:ascii="Times New Roman" w:hAnsi="Times New Roman" w:eastAsia="宋体" w:cs="Times New Roman"/>
          <w:sz w:val="24"/>
          <w:szCs w:val="24"/>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1805093"/>
      <w:docPartObj>
        <w:docPartGallery w:val="autotext"/>
      </w:docPartObj>
    </w:sdtPr>
    <w:sdtEndPr>
      <w:rPr>
        <w:rFonts w:ascii="宋体" w:hAnsi="宋体" w:eastAsia="宋体"/>
      </w:rPr>
    </w:sdtEndPr>
    <w:sdtContent>
      <w:p>
        <w:pPr>
          <w:pStyle w:val="5"/>
          <w:jc w:val="center"/>
          <w:rPr>
            <w:rFonts w:ascii="宋体" w:hAnsi="宋体" w:eastAsia="宋体"/>
          </w:rPr>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13</w:t>
        </w:r>
        <w:r>
          <w:rPr>
            <w:rFonts w:ascii="宋体" w:hAnsi="宋体" w:eastAsia="宋体"/>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《导轨式胶轮系统</w:t>
    </w:r>
    <w:r>
      <w:rPr>
        <w:rFonts w:hint="eastAsia"/>
        <w:lang w:val="en-US" w:eastAsia="zh-CN"/>
      </w:rPr>
      <w:t>客运组织与服务管理规范</w:t>
    </w:r>
    <w:r>
      <w:rPr>
        <w:rFonts w:hint="eastAsia"/>
      </w:rPr>
      <w:t>》编制说明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0C97E"/>
    <w:multiLevelType w:val="singleLevel"/>
    <w:tmpl w:val="A730C97E"/>
    <w:lvl w:ilvl="0" w:tentative="0">
      <w:start w:val="1"/>
      <w:numFmt w:val="decimal"/>
      <w:suff w:val="nothing"/>
      <w:lvlText w:val="（%1）"/>
      <w:lvlJc w:val="left"/>
    </w:lvl>
  </w:abstractNum>
  <w:abstractNum w:abstractNumId="1">
    <w:nsid w:val="E302C1A5"/>
    <w:multiLevelType w:val="singleLevel"/>
    <w:tmpl w:val="E302C1A5"/>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657"/>
    <w:rsid w:val="000041EE"/>
    <w:rsid w:val="00014DB8"/>
    <w:rsid w:val="00025554"/>
    <w:rsid w:val="00036C62"/>
    <w:rsid w:val="00051790"/>
    <w:rsid w:val="00053AD5"/>
    <w:rsid w:val="00056492"/>
    <w:rsid w:val="00067B91"/>
    <w:rsid w:val="00067D3E"/>
    <w:rsid w:val="00077032"/>
    <w:rsid w:val="00086A48"/>
    <w:rsid w:val="00090D8E"/>
    <w:rsid w:val="00091486"/>
    <w:rsid w:val="0009714C"/>
    <w:rsid w:val="000A6D14"/>
    <w:rsid w:val="000B4CA0"/>
    <w:rsid w:val="000E06DB"/>
    <w:rsid w:val="000F3412"/>
    <w:rsid w:val="00105E70"/>
    <w:rsid w:val="00111C9B"/>
    <w:rsid w:val="00112B9C"/>
    <w:rsid w:val="00116AF8"/>
    <w:rsid w:val="00131729"/>
    <w:rsid w:val="00132B4F"/>
    <w:rsid w:val="001346EB"/>
    <w:rsid w:val="00147BA0"/>
    <w:rsid w:val="00151205"/>
    <w:rsid w:val="001603E2"/>
    <w:rsid w:val="00165CAA"/>
    <w:rsid w:val="001720CB"/>
    <w:rsid w:val="00172DA0"/>
    <w:rsid w:val="00175954"/>
    <w:rsid w:val="00185139"/>
    <w:rsid w:val="001979B6"/>
    <w:rsid w:val="001A6111"/>
    <w:rsid w:val="001B109A"/>
    <w:rsid w:val="001D4D74"/>
    <w:rsid w:val="001D5D7C"/>
    <w:rsid w:val="001E1471"/>
    <w:rsid w:val="001E15BF"/>
    <w:rsid w:val="001F01D2"/>
    <w:rsid w:val="001F6147"/>
    <w:rsid w:val="00200BE9"/>
    <w:rsid w:val="00205FDB"/>
    <w:rsid w:val="00232C2B"/>
    <w:rsid w:val="002336AC"/>
    <w:rsid w:val="0023557C"/>
    <w:rsid w:val="00253580"/>
    <w:rsid w:val="00271C55"/>
    <w:rsid w:val="00272DD6"/>
    <w:rsid w:val="00277899"/>
    <w:rsid w:val="00277985"/>
    <w:rsid w:val="00283144"/>
    <w:rsid w:val="00283659"/>
    <w:rsid w:val="00293A8D"/>
    <w:rsid w:val="002A09F1"/>
    <w:rsid w:val="002A3B5D"/>
    <w:rsid w:val="002A4093"/>
    <w:rsid w:val="002A45C3"/>
    <w:rsid w:val="002B5899"/>
    <w:rsid w:val="002C429D"/>
    <w:rsid w:val="002C4B68"/>
    <w:rsid w:val="002D4B06"/>
    <w:rsid w:val="002D558F"/>
    <w:rsid w:val="002D6E35"/>
    <w:rsid w:val="003056DE"/>
    <w:rsid w:val="00320EA6"/>
    <w:rsid w:val="00330AB1"/>
    <w:rsid w:val="003336B0"/>
    <w:rsid w:val="00346F30"/>
    <w:rsid w:val="0035507C"/>
    <w:rsid w:val="003555CE"/>
    <w:rsid w:val="0036538A"/>
    <w:rsid w:val="003662DA"/>
    <w:rsid w:val="0039221B"/>
    <w:rsid w:val="00396A07"/>
    <w:rsid w:val="003979D3"/>
    <w:rsid w:val="003A005E"/>
    <w:rsid w:val="003A7B19"/>
    <w:rsid w:val="003B084C"/>
    <w:rsid w:val="003B1BE7"/>
    <w:rsid w:val="003C6603"/>
    <w:rsid w:val="003D4235"/>
    <w:rsid w:val="003D64A9"/>
    <w:rsid w:val="003D743D"/>
    <w:rsid w:val="003F01A1"/>
    <w:rsid w:val="003F2A0A"/>
    <w:rsid w:val="003F5CE0"/>
    <w:rsid w:val="003F608B"/>
    <w:rsid w:val="00401711"/>
    <w:rsid w:val="00403362"/>
    <w:rsid w:val="00410F81"/>
    <w:rsid w:val="00411E9F"/>
    <w:rsid w:val="00411FEC"/>
    <w:rsid w:val="00426AAA"/>
    <w:rsid w:val="00431CD3"/>
    <w:rsid w:val="00444E62"/>
    <w:rsid w:val="00445848"/>
    <w:rsid w:val="004517C1"/>
    <w:rsid w:val="004550E2"/>
    <w:rsid w:val="00455FC5"/>
    <w:rsid w:val="00461949"/>
    <w:rsid w:val="00467CDC"/>
    <w:rsid w:val="00470FAD"/>
    <w:rsid w:val="00474381"/>
    <w:rsid w:val="00476E24"/>
    <w:rsid w:val="0048275F"/>
    <w:rsid w:val="004858A9"/>
    <w:rsid w:val="00486E46"/>
    <w:rsid w:val="00490456"/>
    <w:rsid w:val="00492BB5"/>
    <w:rsid w:val="00493DE4"/>
    <w:rsid w:val="004941B5"/>
    <w:rsid w:val="00494E1E"/>
    <w:rsid w:val="00494F2C"/>
    <w:rsid w:val="004972DA"/>
    <w:rsid w:val="004B3166"/>
    <w:rsid w:val="004B55B1"/>
    <w:rsid w:val="004C1FC0"/>
    <w:rsid w:val="004C6C10"/>
    <w:rsid w:val="004D276C"/>
    <w:rsid w:val="004E06AF"/>
    <w:rsid w:val="004E7657"/>
    <w:rsid w:val="004F0491"/>
    <w:rsid w:val="004F07CF"/>
    <w:rsid w:val="004F2837"/>
    <w:rsid w:val="004F6BDE"/>
    <w:rsid w:val="00502F4F"/>
    <w:rsid w:val="005048A7"/>
    <w:rsid w:val="00505D0C"/>
    <w:rsid w:val="00512662"/>
    <w:rsid w:val="00521C74"/>
    <w:rsid w:val="00524D1A"/>
    <w:rsid w:val="0053051A"/>
    <w:rsid w:val="00535D0B"/>
    <w:rsid w:val="0053606C"/>
    <w:rsid w:val="0054594A"/>
    <w:rsid w:val="00545C22"/>
    <w:rsid w:val="005509A9"/>
    <w:rsid w:val="00557D2D"/>
    <w:rsid w:val="0056345B"/>
    <w:rsid w:val="005647C7"/>
    <w:rsid w:val="00565D2C"/>
    <w:rsid w:val="00566C9A"/>
    <w:rsid w:val="005677ED"/>
    <w:rsid w:val="00571C2A"/>
    <w:rsid w:val="00573FCC"/>
    <w:rsid w:val="005774FC"/>
    <w:rsid w:val="005836EA"/>
    <w:rsid w:val="005879E0"/>
    <w:rsid w:val="00593693"/>
    <w:rsid w:val="00594192"/>
    <w:rsid w:val="00595219"/>
    <w:rsid w:val="00597640"/>
    <w:rsid w:val="005A4FD9"/>
    <w:rsid w:val="005A6B9F"/>
    <w:rsid w:val="005C5742"/>
    <w:rsid w:val="005D1E26"/>
    <w:rsid w:val="005D5213"/>
    <w:rsid w:val="005F238F"/>
    <w:rsid w:val="005F576D"/>
    <w:rsid w:val="005F5EC8"/>
    <w:rsid w:val="005F7795"/>
    <w:rsid w:val="00612196"/>
    <w:rsid w:val="00621AB5"/>
    <w:rsid w:val="00624DC1"/>
    <w:rsid w:val="006275BB"/>
    <w:rsid w:val="0063125A"/>
    <w:rsid w:val="0063212C"/>
    <w:rsid w:val="00645593"/>
    <w:rsid w:val="006473C0"/>
    <w:rsid w:val="0065616A"/>
    <w:rsid w:val="00660C0C"/>
    <w:rsid w:val="006677A6"/>
    <w:rsid w:val="00667D7A"/>
    <w:rsid w:val="00671693"/>
    <w:rsid w:val="00673690"/>
    <w:rsid w:val="00681EF9"/>
    <w:rsid w:val="00684261"/>
    <w:rsid w:val="006876F8"/>
    <w:rsid w:val="006A46A0"/>
    <w:rsid w:val="006B0E55"/>
    <w:rsid w:val="006E02F7"/>
    <w:rsid w:val="006E26F3"/>
    <w:rsid w:val="006E3D67"/>
    <w:rsid w:val="006E73D1"/>
    <w:rsid w:val="006F0DA4"/>
    <w:rsid w:val="006F7D3C"/>
    <w:rsid w:val="0071079E"/>
    <w:rsid w:val="00717263"/>
    <w:rsid w:val="007206ED"/>
    <w:rsid w:val="00720DC8"/>
    <w:rsid w:val="00727FC1"/>
    <w:rsid w:val="00741202"/>
    <w:rsid w:val="00755D22"/>
    <w:rsid w:val="007615BB"/>
    <w:rsid w:val="00764C31"/>
    <w:rsid w:val="00770B79"/>
    <w:rsid w:val="0077201A"/>
    <w:rsid w:val="00776904"/>
    <w:rsid w:val="00792F72"/>
    <w:rsid w:val="00796008"/>
    <w:rsid w:val="007B181D"/>
    <w:rsid w:val="007B1D26"/>
    <w:rsid w:val="007C0346"/>
    <w:rsid w:val="007C26EC"/>
    <w:rsid w:val="007C47BF"/>
    <w:rsid w:val="007F370F"/>
    <w:rsid w:val="007F4366"/>
    <w:rsid w:val="007F558E"/>
    <w:rsid w:val="00800F2D"/>
    <w:rsid w:val="00801A98"/>
    <w:rsid w:val="0080272D"/>
    <w:rsid w:val="00803771"/>
    <w:rsid w:val="00811CFA"/>
    <w:rsid w:val="00814888"/>
    <w:rsid w:val="008220D2"/>
    <w:rsid w:val="0082549E"/>
    <w:rsid w:val="008258C6"/>
    <w:rsid w:val="00833622"/>
    <w:rsid w:val="008459F1"/>
    <w:rsid w:val="00854F80"/>
    <w:rsid w:val="00860A58"/>
    <w:rsid w:val="008623E4"/>
    <w:rsid w:val="00867AAB"/>
    <w:rsid w:val="008736F5"/>
    <w:rsid w:val="0087635B"/>
    <w:rsid w:val="00876376"/>
    <w:rsid w:val="00881915"/>
    <w:rsid w:val="00884C9C"/>
    <w:rsid w:val="008879FC"/>
    <w:rsid w:val="00893A2A"/>
    <w:rsid w:val="008B1E3A"/>
    <w:rsid w:val="008C1FEE"/>
    <w:rsid w:val="008C2338"/>
    <w:rsid w:val="008C7AD1"/>
    <w:rsid w:val="008D581F"/>
    <w:rsid w:val="008D662B"/>
    <w:rsid w:val="008D7D01"/>
    <w:rsid w:val="008E410D"/>
    <w:rsid w:val="008F537E"/>
    <w:rsid w:val="00904018"/>
    <w:rsid w:val="009067E7"/>
    <w:rsid w:val="00906976"/>
    <w:rsid w:val="00906E22"/>
    <w:rsid w:val="00907C9C"/>
    <w:rsid w:val="00910857"/>
    <w:rsid w:val="00913EB6"/>
    <w:rsid w:val="009201DE"/>
    <w:rsid w:val="00925312"/>
    <w:rsid w:val="0092531F"/>
    <w:rsid w:val="00927714"/>
    <w:rsid w:val="00935754"/>
    <w:rsid w:val="00944EBB"/>
    <w:rsid w:val="009456E3"/>
    <w:rsid w:val="009574C2"/>
    <w:rsid w:val="00963174"/>
    <w:rsid w:val="00963577"/>
    <w:rsid w:val="00965A23"/>
    <w:rsid w:val="00981406"/>
    <w:rsid w:val="00985224"/>
    <w:rsid w:val="009968E4"/>
    <w:rsid w:val="009B017C"/>
    <w:rsid w:val="009B100C"/>
    <w:rsid w:val="009B10B0"/>
    <w:rsid w:val="009C0172"/>
    <w:rsid w:val="009C1E75"/>
    <w:rsid w:val="009D0874"/>
    <w:rsid w:val="009D12BA"/>
    <w:rsid w:val="009D2DB2"/>
    <w:rsid w:val="009D5BEC"/>
    <w:rsid w:val="009E1391"/>
    <w:rsid w:val="009E2ED5"/>
    <w:rsid w:val="009F39FB"/>
    <w:rsid w:val="00A06674"/>
    <w:rsid w:val="00A102B9"/>
    <w:rsid w:val="00A30361"/>
    <w:rsid w:val="00A326DD"/>
    <w:rsid w:val="00A33F2F"/>
    <w:rsid w:val="00A374D0"/>
    <w:rsid w:val="00A41661"/>
    <w:rsid w:val="00A419A9"/>
    <w:rsid w:val="00A41C23"/>
    <w:rsid w:val="00A45E31"/>
    <w:rsid w:val="00A469F1"/>
    <w:rsid w:val="00A50871"/>
    <w:rsid w:val="00A522EE"/>
    <w:rsid w:val="00A54DF3"/>
    <w:rsid w:val="00A55546"/>
    <w:rsid w:val="00A70079"/>
    <w:rsid w:val="00A77E73"/>
    <w:rsid w:val="00AA3E42"/>
    <w:rsid w:val="00AB600D"/>
    <w:rsid w:val="00AC2115"/>
    <w:rsid w:val="00AC476B"/>
    <w:rsid w:val="00AC4846"/>
    <w:rsid w:val="00AD052E"/>
    <w:rsid w:val="00AE1C2D"/>
    <w:rsid w:val="00AE5F8B"/>
    <w:rsid w:val="00B01A98"/>
    <w:rsid w:val="00B1036F"/>
    <w:rsid w:val="00B14E49"/>
    <w:rsid w:val="00B151BC"/>
    <w:rsid w:val="00B16383"/>
    <w:rsid w:val="00B166A9"/>
    <w:rsid w:val="00B1770B"/>
    <w:rsid w:val="00B205EB"/>
    <w:rsid w:val="00B26673"/>
    <w:rsid w:val="00B41446"/>
    <w:rsid w:val="00B44D99"/>
    <w:rsid w:val="00B45057"/>
    <w:rsid w:val="00B47F36"/>
    <w:rsid w:val="00B546D7"/>
    <w:rsid w:val="00B84BED"/>
    <w:rsid w:val="00B85B3E"/>
    <w:rsid w:val="00B9040C"/>
    <w:rsid w:val="00BA28B9"/>
    <w:rsid w:val="00BA4126"/>
    <w:rsid w:val="00BB6C1F"/>
    <w:rsid w:val="00BC0218"/>
    <w:rsid w:val="00BC0B4E"/>
    <w:rsid w:val="00BC118A"/>
    <w:rsid w:val="00BD38F9"/>
    <w:rsid w:val="00BD3AE1"/>
    <w:rsid w:val="00BD48C5"/>
    <w:rsid w:val="00BE1303"/>
    <w:rsid w:val="00BE5294"/>
    <w:rsid w:val="00C03BDD"/>
    <w:rsid w:val="00C2315E"/>
    <w:rsid w:val="00C3188E"/>
    <w:rsid w:val="00C340C6"/>
    <w:rsid w:val="00C538DC"/>
    <w:rsid w:val="00C75184"/>
    <w:rsid w:val="00C76B12"/>
    <w:rsid w:val="00C827A5"/>
    <w:rsid w:val="00C87D5F"/>
    <w:rsid w:val="00C94B5B"/>
    <w:rsid w:val="00CA5794"/>
    <w:rsid w:val="00CB5B6D"/>
    <w:rsid w:val="00CC4B07"/>
    <w:rsid w:val="00CC6278"/>
    <w:rsid w:val="00CD4B06"/>
    <w:rsid w:val="00CE68D8"/>
    <w:rsid w:val="00CF6AFF"/>
    <w:rsid w:val="00D00DEE"/>
    <w:rsid w:val="00D032E6"/>
    <w:rsid w:val="00D06BE4"/>
    <w:rsid w:val="00D170DF"/>
    <w:rsid w:val="00D24571"/>
    <w:rsid w:val="00D32905"/>
    <w:rsid w:val="00D3417E"/>
    <w:rsid w:val="00D47B23"/>
    <w:rsid w:val="00D5513E"/>
    <w:rsid w:val="00D61681"/>
    <w:rsid w:val="00D72262"/>
    <w:rsid w:val="00D8559D"/>
    <w:rsid w:val="00D85A3A"/>
    <w:rsid w:val="00D97585"/>
    <w:rsid w:val="00DA2A0C"/>
    <w:rsid w:val="00DA4445"/>
    <w:rsid w:val="00DA7932"/>
    <w:rsid w:val="00DB13FB"/>
    <w:rsid w:val="00DB1A96"/>
    <w:rsid w:val="00DB5F09"/>
    <w:rsid w:val="00DC3DC2"/>
    <w:rsid w:val="00DD3413"/>
    <w:rsid w:val="00DD773B"/>
    <w:rsid w:val="00DD79F8"/>
    <w:rsid w:val="00DE2BB8"/>
    <w:rsid w:val="00DE6281"/>
    <w:rsid w:val="00DE7C95"/>
    <w:rsid w:val="00DF352A"/>
    <w:rsid w:val="00E024F8"/>
    <w:rsid w:val="00E056DB"/>
    <w:rsid w:val="00E07E41"/>
    <w:rsid w:val="00E21F83"/>
    <w:rsid w:val="00E276B1"/>
    <w:rsid w:val="00E30A51"/>
    <w:rsid w:val="00E5482E"/>
    <w:rsid w:val="00E56EB0"/>
    <w:rsid w:val="00E64282"/>
    <w:rsid w:val="00E74145"/>
    <w:rsid w:val="00E8572F"/>
    <w:rsid w:val="00E86B97"/>
    <w:rsid w:val="00E90B13"/>
    <w:rsid w:val="00E971AB"/>
    <w:rsid w:val="00EA4BF6"/>
    <w:rsid w:val="00EA5777"/>
    <w:rsid w:val="00EB11FE"/>
    <w:rsid w:val="00EC0A8F"/>
    <w:rsid w:val="00EC3F23"/>
    <w:rsid w:val="00ED1860"/>
    <w:rsid w:val="00EE385D"/>
    <w:rsid w:val="00EE3FBA"/>
    <w:rsid w:val="00EF22AA"/>
    <w:rsid w:val="00EF3696"/>
    <w:rsid w:val="00EF36FD"/>
    <w:rsid w:val="00EF4881"/>
    <w:rsid w:val="00F067E6"/>
    <w:rsid w:val="00F077CF"/>
    <w:rsid w:val="00F113B1"/>
    <w:rsid w:val="00F11E6A"/>
    <w:rsid w:val="00F166C4"/>
    <w:rsid w:val="00F22392"/>
    <w:rsid w:val="00F25144"/>
    <w:rsid w:val="00F357E9"/>
    <w:rsid w:val="00F35B1A"/>
    <w:rsid w:val="00F41309"/>
    <w:rsid w:val="00F45E7A"/>
    <w:rsid w:val="00F52106"/>
    <w:rsid w:val="00F73A95"/>
    <w:rsid w:val="00F80232"/>
    <w:rsid w:val="00F83557"/>
    <w:rsid w:val="00F90146"/>
    <w:rsid w:val="00FB4B2B"/>
    <w:rsid w:val="00FD05B1"/>
    <w:rsid w:val="00FE0327"/>
    <w:rsid w:val="00FE1224"/>
    <w:rsid w:val="00FF0538"/>
    <w:rsid w:val="00FF2B93"/>
    <w:rsid w:val="00FF2EAE"/>
    <w:rsid w:val="00FF662D"/>
    <w:rsid w:val="078426A5"/>
    <w:rsid w:val="08FC3572"/>
    <w:rsid w:val="0DD437BD"/>
    <w:rsid w:val="0E1F257F"/>
    <w:rsid w:val="0E7C7F1E"/>
    <w:rsid w:val="0F03446B"/>
    <w:rsid w:val="16ED620C"/>
    <w:rsid w:val="17147BF6"/>
    <w:rsid w:val="17AC7A8C"/>
    <w:rsid w:val="203B14F9"/>
    <w:rsid w:val="23DB563F"/>
    <w:rsid w:val="25303BCA"/>
    <w:rsid w:val="25690D78"/>
    <w:rsid w:val="25B47C4B"/>
    <w:rsid w:val="26863FA8"/>
    <w:rsid w:val="27E72CAA"/>
    <w:rsid w:val="2B8B085F"/>
    <w:rsid w:val="2FD13954"/>
    <w:rsid w:val="2FDC7E0A"/>
    <w:rsid w:val="31351896"/>
    <w:rsid w:val="31476850"/>
    <w:rsid w:val="35155764"/>
    <w:rsid w:val="3CC721B5"/>
    <w:rsid w:val="3E934815"/>
    <w:rsid w:val="403F7F7A"/>
    <w:rsid w:val="40C3324F"/>
    <w:rsid w:val="457466AA"/>
    <w:rsid w:val="45B6657A"/>
    <w:rsid w:val="470E5870"/>
    <w:rsid w:val="47AF7C94"/>
    <w:rsid w:val="488F23B1"/>
    <w:rsid w:val="4BF818C5"/>
    <w:rsid w:val="4BF87326"/>
    <w:rsid w:val="4CB86BE4"/>
    <w:rsid w:val="4E1014F0"/>
    <w:rsid w:val="4F987FA1"/>
    <w:rsid w:val="510B70B4"/>
    <w:rsid w:val="521D5268"/>
    <w:rsid w:val="55AF2AE6"/>
    <w:rsid w:val="56AF4EA6"/>
    <w:rsid w:val="574D795D"/>
    <w:rsid w:val="61D60FAE"/>
    <w:rsid w:val="66F600C3"/>
    <w:rsid w:val="67D2360B"/>
    <w:rsid w:val="67E77C51"/>
    <w:rsid w:val="68E064B3"/>
    <w:rsid w:val="701A7A8C"/>
    <w:rsid w:val="73DD736E"/>
    <w:rsid w:val="76387277"/>
    <w:rsid w:val="7DEC3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3"/>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character" w:customStyle="1" w:styleId="13">
    <w:name w:val="批注框文本 Char"/>
    <w:basedOn w:val="11"/>
    <w:link w:val="4"/>
    <w:semiHidden/>
    <w:qFormat/>
    <w:uiPriority w:val="99"/>
    <w:rPr>
      <w:sz w:val="18"/>
      <w:szCs w:val="18"/>
    </w:rPr>
  </w:style>
  <w:style w:type="character" w:customStyle="1" w:styleId="14">
    <w:name w:val="日期 Char"/>
    <w:basedOn w:val="11"/>
    <w:link w:val="3"/>
    <w:semiHidden/>
    <w:qFormat/>
    <w:uiPriority w:val="99"/>
  </w:style>
  <w:style w:type="paragraph" w:styleId="15">
    <w:name w:val="List Paragraph"/>
    <w:basedOn w:val="1"/>
    <w:qFormat/>
    <w:uiPriority w:val="99"/>
    <w:pPr>
      <w:ind w:firstLine="420" w:firstLineChars="200"/>
    </w:pPr>
  </w:style>
  <w:style w:type="character" w:customStyle="1" w:styleId="16">
    <w:name w:val="页眉 Char"/>
    <w:basedOn w:val="11"/>
    <w:link w:val="6"/>
    <w:qFormat/>
    <w:uiPriority w:val="99"/>
    <w:rPr>
      <w:sz w:val="18"/>
      <w:szCs w:val="18"/>
    </w:rPr>
  </w:style>
  <w:style w:type="character" w:customStyle="1" w:styleId="17">
    <w:name w:val="页脚 Char"/>
    <w:basedOn w:val="11"/>
    <w:link w:val="5"/>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FD352-9E7F-449D-8248-580E7BF3847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15</Pages>
  <Words>1481</Words>
  <Characters>8446</Characters>
  <Lines>70</Lines>
  <Paragraphs>19</Paragraphs>
  <TotalTime>0</TotalTime>
  <ScaleCrop>false</ScaleCrop>
  <LinksUpToDate>false</LinksUpToDate>
  <CharactersWithSpaces>9908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2018-07-08T03:17:00Z</dcterms:created>
  <dc:creator>Windows User</dc:creator>
  <cp:lastModifiedBy>guo.shuping</cp:lastModifiedBy>
  <cp:lastPrinted>2018-08-01T02:08:00Z</cp:lastPrinted>
  <dcterms:modified xsi:type="dcterms:W3CDTF">2022-08-01T09:03:20Z</dcterms:modified>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F5B96B28B32C4C35B01DB717DF27370F</vt:lpwstr>
  </property>
</Properties>
</file>